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AC85" w14:textId="77777777" w:rsidR="00622682" w:rsidRPr="00622682" w:rsidRDefault="00622682" w:rsidP="00622682">
      <w:pPr>
        <w:spacing w:after="120"/>
        <w:rPr>
          <w:rFonts w:ascii="Calibri" w:eastAsia="Calibri" w:hAnsi="Calibri" w:cs="Arial"/>
        </w:rPr>
      </w:pPr>
      <w:r w:rsidRPr="00622682">
        <w:rPr>
          <w:rFonts w:ascii="Calibri" w:eastAsia="Calibri" w:hAnsi="Calibri" w:cs="Arial"/>
          <w:noProof/>
        </w:rPr>
        <w:drawing>
          <wp:anchor distT="0" distB="0" distL="114300" distR="114300" simplePos="0" relativeHeight="251659264" behindDoc="0" locked="0" layoutInCell="1" allowOverlap="1" wp14:anchorId="0440CFC4" wp14:editId="456F37F8">
            <wp:simplePos x="0" y="0"/>
            <wp:positionH relativeFrom="column">
              <wp:posOffset>0</wp:posOffset>
            </wp:positionH>
            <wp:positionV relativeFrom="paragraph">
              <wp:posOffset>262890</wp:posOffset>
            </wp:positionV>
            <wp:extent cx="3144520" cy="17970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stacked-2.jpg"/>
                    <pic:cNvPicPr/>
                  </pic:nvPicPr>
                  <pic:blipFill>
                    <a:blip r:embed="rId11">
                      <a:extLst>
                        <a:ext uri="{28A0092B-C50C-407E-A947-70E740481C1C}">
                          <a14:useLocalDpi xmlns:a14="http://schemas.microsoft.com/office/drawing/2010/main" val="0"/>
                        </a:ext>
                      </a:extLst>
                    </a:blip>
                    <a:stretch>
                      <a:fillRect/>
                    </a:stretch>
                  </pic:blipFill>
                  <pic:spPr>
                    <a:xfrm>
                      <a:off x="0" y="0"/>
                      <a:ext cx="3144520" cy="1797050"/>
                    </a:xfrm>
                    <a:prstGeom prst="rect">
                      <a:avLst/>
                    </a:prstGeom>
                  </pic:spPr>
                </pic:pic>
              </a:graphicData>
            </a:graphic>
          </wp:anchor>
        </w:drawing>
      </w:r>
    </w:p>
    <w:p w14:paraId="69070E48" w14:textId="77777777" w:rsidR="00622682" w:rsidRPr="00622682" w:rsidRDefault="00622682" w:rsidP="00622682">
      <w:pPr>
        <w:spacing w:before="120"/>
        <w:ind w:left="360"/>
        <w:rPr>
          <w:rFonts w:ascii="Calibri" w:eastAsia="Calibri" w:hAnsi="Calibri" w:cs="Arial"/>
          <w:sz w:val="28"/>
          <w:szCs w:val="28"/>
        </w:rPr>
      </w:pPr>
    </w:p>
    <w:p w14:paraId="4EBBC131" w14:textId="77777777" w:rsidR="00622682" w:rsidRPr="00622682" w:rsidRDefault="00622682" w:rsidP="00622682">
      <w:pPr>
        <w:spacing w:before="120"/>
        <w:ind w:left="360"/>
        <w:rPr>
          <w:rFonts w:ascii="Calibri" w:eastAsia="Calibri" w:hAnsi="Calibri" w:cs="Arial"/>
          <w:sz w:val="28"/>
          <w:szCs w:val="28"/>
        </w:rPr>
      </w:pPr>
      <w:r w:rsidRPr="00622682">
        <w:rPr>
          <w:rFonts w:ascii="Calibri" w:eastAsia="Calibri" w:hAnsi="Calibri" w:cs="Arial"/>
          <w:sz w:val="28"/>
          <w:szCs w:val="28"/>
        </w:rPr>
        <w:t>Please Note:</w:t>
      </w:r>
    </w:p>
    <w:p w14:paraId="13EF47E6" w14:textId="77777777" w:rsidR="00622682" w:rsidRPr="00622682" w:rsidRDefault="00622682" w:rsidP="00622682">
      <w:pPr>
        <w:spacing w:before="120" w:line="300" w:lineRule="auto"/>
        <w:ind w:left="720" w:right="450"/>
        <w:rPr>
          <w:rFonts w:ascii="Calibri" w:eastAsia="Calibri" w:hAnsi="Calibri" w:cs="Arial"/>
          <w:sz w:val="28"/>
          <w:szCs w:val="28"/>
        </w:rPr>
      </w:pPr>
      <w:r w:rsidRPr="00622682">
        <w:rPr>
          <w:rFonts w:ascii="Calibri" w:eastAsia="Calibri" w:hAnsi="Calibri" w:cs="Arial"/>
          <w:sz w:val="28"/>
          <w:szCs w:val="28"/>
        </w:rPr>
        <w:t xml:space="preserve">This template is intended for educational purposes only, without any express or implied warranty of any kind, including warranties of accuracy, completeness, or fitness for any particular purpose.  </w:t>
      </w:r>
      <w:r w:rsidRPr="00622682">
        <w:rPr>
          <w:rFonts w:ascii="Calibri" w:eastAsia="Calibri" w:hAnsi="Calibri" w:cs="Arial"/>
          <w:sz w:val="28"/>
          <w:szCs w:val="28"/>
          <w:shd w:val="clear" w:color="auto" w:fill="FFFFFF"/>
        </w:rPr>
        <w:t>You agree that your use of the template is without any recourse whatsoever to PG&amp;E, SCE, SDG&amp;E, SCG, or their affiliates.</w:t>
      </w:r>
      <w:r w:rsidRPr="00622682">
        <w:rPr>
          <w:rFonts w:ascii="Calibri" w:eastAsia="Calibri" w:hAnsi="Calibri" w:cs="Arial"/>
          <w:sz w:val="28"/>
          <w:szCs w:val="28"/>
        </w:rPr>
        <w:t xml:space="preserve"> The template is a draft, and anyone using this document should seek the advice of an attorney to develop appropriate ordinance language to meet its jurisdiction’s specific needs, as state and local laws may differ.</w:t>
      </w:r>
    </w:p>
    <w:p w14:paraId="5DA606E3" w14:textId="03AD7FA4" w:rsidR="00622682" w:rsidRPr="00622682" w:rsidRDefault="00622682" w:rsidP="00622682">
      <w:pPr>
        <w:tabs>
          <w:tab w:val="left" w:pos="5364"/>
        </w:tabs>
        <w:spacing w:before="120" w:line="300" w:lineRule="auto"/>
        <w:ind w:left="720" w:right="720"/>
        <w:rPr>
          <w:rFonts w:ascii="Calibri" w:eastAsia="Calibri" w:hAnsi="Calibri" w:cs="Arial"/>
          <w:sz w:val="28"/>
          <w:szCs w:val="28"/>
        </w:rPr>
      </w:pPr>
      <w:r>
        <w:rPr>
          <w:rFonts w:ascii="Calibri" w:eastAsia="Calibri" w:hAnsi="Calibri" w:cs="Arial"/>
          <w:sz w:val="28"/>
          <w:szCs w:val="28"/>
        </w:rPr>
        <w:tab/>
      </w:r>
    </w:p>
    <w:p w14:paraId="4563257B" w14:textId="77777777" w:rsidR="00622682" w:rsidRPr="00622682" w:rsidRDefault="00622682" w:rsidP="00622682">
      <w:pPr>
        <w:spacing w:before="120" w:line="300" w:lineRule="auto"/>
        <w:ind w:left="720" w:right="720"/>
        <w:rPr>
          <w:rFonts w:ascii="Calibri" w:eastAsia="Calibri" w:hAnsi="Calibri" w:cs="Arial"/>
          <w:sz w:val="28"/>
          <w:szCs w:val="28"/>
        </w:rPr>
      </w:pPr>
      <w:r w:rsidRPr="00622682">
        <w:rPr>
          <w:rFonts w:ascii="Calibri" w:eastAsia="Calibri" w:hAnsi="Calibri" w:cs="Arial"/>
          <w:sz w:val="28"/>
          <w:szCs w:val="28"/>
        </w:rPr>
        <w:t xml:space="preserve">Please contact the Codes and Standards Reach Codes Team at </w:t>
      </w:r>
      <w:hyperlink r:id="rId12" w:history="1">
        <w:r w:rsidRPr="00622682">
          <w:rPr>
            <w:rFonts w:ascii="Calibri" w:eastAsia="Calibri" w:hAnsi="Calibri" w:cs="Arial"/>
            <w:color w:val="0563C1"/>
            <w:sz w:val="28"/>
            <w:szCs w:val="28"/>
            <w:u w:val="single"/>
          </w:rPr>
          <w:t>info@LocalEnergyCodes.com</w:t>
        </w:r>
      </w:hyperlink>
      <w:r w:rsidRPr="00622682">
        <w:rPr>
          <w:rFonts w:ascii="Calibri" w:eastAsia="Calibri" w:hAnsi="Calibri" w:cs="Arial"/>
          <w:sz w:val="28"/>
          <w:szCs w:val="28"/>
        </w:rPr>
        <w:t xml:space="preserve"> for additional information.</w:t>
      </w:r>
    </w:p>
    <w:p w14:paraId="07A1B28F" w14:textId="77777777" w:rsidR="00622682" w:rsidRPr="00622682" w:rsidRDefault="00622682" w:rsidP="00622682">
      <w:pPr>
        <w:spacing w:before="120"/>
        <w:rPr>
          <w:rFonts w:ascii="Open Sans" w:eastAsia="Calibri" w:hAnsi="Open Sans" w:cs="Arial"/>
          <w:color w:val="3E474C"/>
        </w:rPr>
      </w:pPr>
    </w:p>
    <w:p w14:paraId="614BC761" w14:textId="77777777" w:rsidR="00622682" w:rsidRPr="00622682" w:rsidRDefault="00622682" w:rsidP="00622682">
      <w:pPr>
        <w:spacing w:before="120"/>
        <w:rPr>
          <w:rFonts w:ascii="Open Sans" w:eastAsia="Calibri" w:hAnsi="Open Sans" w:cs="Arial"/>
          <w:color w:val="3E474C"/>
        </w:rPr>
      </w:pPr>
    </w:p>
    <w:p w14:paraId="332CAD41" w14:textId="4BDCF526" w:rsidR="00622682" w:rsidRDefault="00622682" w:rsidP="00622682">
      <w:pPr>
        <w:spacing w:before="120"/>
        <w:ind w:left="720" w:right="720"/>
        <w:jc w:val="center"/>
        <w:rPr>
          <w:rFonts w:ascii="Open Sans" w:eastAsia="Calibri" w:hAnsi="Open Sans" w:cs="Arial"/>
          <w:i/>
          <w:iCs/>
          <w:color w:val="3E474C"/>
        </w:rPr>
      </w:pPr>
    </w:p>
    <w:p w14:paraId="76B59AA7" w14:textId="77777777" w:rsidR="005B1D75" w:rsidRPr="00622682" w:rsidRDefault="005B1D75" w:rsidP="00622682">
      <w:pPr>
        <w:spacing w:before="120"/>
        <w:ind w:left="720" w:right="720"/>
        <w:jc w:val="center"/>
        <w:rPr>
          <w:rFonts w:ascii="Open Sans" w:eastAsia="Calibri" w:hAnsi="Open Sans" w:cs="Arial"/>
          <w:i/>
          <w:iCs/>
          <w:color w:val="3E474C"/>
        </w:rPr>
      </w:pPr>
    </w:p>
    <w:p w14:paraId="53FF685C" w14:textId="77777777" w:rsidR="00622682" w:rsidRPr="00622682" w:rsidRDefault="00622682" w:rsidP="00622682">
      <w:pPr>
        <w:spacing w:before="120"/>
        <w:rPr>
          <w:rFonts w:ascii="Open Sans" w:eastAsia="Calibri" w:hAnsi="Open Sans" w:cs="Arial"/>
          <w:color w:val="3E474C"/>
        </w:rPr>
      </w:pPr>
    </w:p>
    <w:p w14:paraId="64656A8D" w14:textId="77777777" w:rsidR="00622682" w:rsidRDefault="00622682" w:rsidP="00622682">
      <w:pPr>
        <w:pStyle w:val="Title"/>
        <w:rPr>
          <w:rFonts w:ascii="Calibri" w:eastAsia="Calibri" w:hAnsi="Calibri" w:cs="Calibri"/>
          <w:bCs w:val="0"/>
          <w:color w:val="3E474C"/>
          <w:spacing w:val="0"/>
          <w:kern w:val="0"/>
          <w:sz w:val="24"/>
          <w:szCs w:val="24"/>
        </w:rPr>
        <w:sectPr w:rsidR="00622682">
          <w:footerReference w:type="default" r:id="rId13"/>
          <w:pgSz w:w="12240" w:h="15840"/>
          <w:pgMar w:top="1440" w:right="1440" w:bottom="1440" w:left="1440" w:header="720" w:footer="720" w:gutter="0"/>
          <w:cols w:space="720"/>
          <w:docGrid w:linePitch="360"/>
        </w:sectPr>
      </w:pPr>
      <w:r w:rsidRPr="00622682">
        <w:rPr>
          <w:rFonts w:ascii="Calibri" w:eastAsia="Calibri" w:hAnsi="Calibri" w:cs="Calibri"/>
          <w:bCs w:val="0"/>
          <w:color w:val="3E474C"/>
          <w:spacing w:val="0"/>
          <w:kern w:val="0"/>
          <w:sz w:val="24"/>
          <w:szCs w:val="24"/>
        </w:rPr>
        <w:t>This program is funded by California utility customers and administered by Pacific Gas and Electric Company, San Diego Gas &amp; Electric Company (SDG&amp;E®), Southern California Edison Company and Southern California Gas Company (SoCalGas®) under the auspices of the California Public Utilities Commission and in support of the California Energy Commission.</w:t>
      </w:r>
    </w:p>
    <w:p w14:paraId="12A39D14" w14:textId="3E0AEB71" w:rsidR="001413CD" w:rsidRDefault="00103400" w:rsidP="00622682">
      <w:pPr>
        <w:pStyle w:val="Title"/>
        <w:rPr>
          <w:rFonts w:ascii="Times New Roman" w:hAnsi="Times New Roman" w:cs="Times New Roman"/>
        </w:rPr>
      </w:pPr>
      <w:r>
        <w:rPr>
          <w:rFonts w:ascii="Times New Roman" w:hAnsi="Times New Roman" w:cs="Times New Roman"/>
        </w:rPr>
        <w:lastRenderedPageBreak/>
        <w:t xml:space="preserve">2019 </w:t>
      </w:r>
      <w:r w:rsidR="00A12FB7" w:rsidRPr="0033553A">
        <w:rPr>
          <w:rFonts w:ascii="Times New Roman" w:hAnsi="Times New Roman" w:cs="Times New Roman"/>
        </w:rPr>
        <w:t>Reach Code Staff Report Template</w:t>
      </w:r>
      <w:r w:rsidR="00B01995">
        <w:rPr>
          <w:rFonts w:ascii="Times New Roman" w:hAnsi="Times New Roman" w:cs="Times New Roman"/>
        </w:rPr>
        <w:t xml:space="preserve"> </w:t>
      </w:r>
      <w:r w:rsidR="00385FAB">
        <w:rPr>
          <w:rFonts w:ascii="Times New Roman" w:hAnsi="Times New Roman" w:cs="Times New Roman"/>
        </w:rPr>
        <w:t xml:space="preserve">-- </w:t>
      </w:r>
      <w:r w:rsidR="00A12FB7" w:rsidRPr="0033553A">
        <w:rPr>
          <w:rFonts w:ascii="Times New Roman" w:hAnsi="Times New Roman" w:cs="Times New Roman"/>
        </w:rPr>
        <w:t>New Construction</w:t>
      </w:r>
    </w:p>
    <w:p w14:paraId="51DDD230" w14:textId="6615E702" w:rsidR="001413CD" w:rsidRPr="001413CD" w:rsidRDefault="00E526AE" w:rsidP="001413CD">
      <w:pPr>
        <w:pStyle w:val="Heading1"/>
        <w:jc w:val="center"/>
      </w:pPr>
      <w:r>
        <w:t>Fuel</w:t>
      </w:r>
      <w:r w:rsidR="00D426B4">
        <w:t>-</w:t>
      </w:r>
      <w:r>
        <w:t>N</w:t>
      </w:r>
      <w:r w:rsidR="004B3487">
        <w:t>eu</w:t>
      </w:r>
      <w:r>
        <w:t>tral</w:t>
      </w:r>
      <w:r w:rsidR="001413CD">
        <w:t xml:space="preserve"> Version</w:t>
      </w:r>
    </w:p>
    <w:p w14:paraId="71F756C8" w14:textId="38C93416" w:rsidR="004476CC" w:rsidRDefault="004476CC" w:rsidP="004476CC"/>
    <w:p w14:paraId="19E00C88" w14:textId="5D199E1E" w:rsidR="004476CC" w:rsidRDefault="004476CC" w:rsidP="004476CC">
      <w:pPr>
        <w:rPr>
          <w:i/>
          <w:iCs/>
        </w:rPr>
      </w:pPr>
      <w:r w:rsidRPr="004476CC">
        <w:rPr>
          <w:i/>
          <w:iCs/>
        </w:rPr>
        <w:t xml:space="preserve">This staff report template is intended as a companion to the </w:t>
      </w:r>
      <w:r w:rsidR="00911107">
        <w:rPr>
          <w:i/>
          <w:iCs/>
        </w:rPr>
        <w:t>fuel-neutral</w:t>
      </w:r>
      <w:r w:rsidRPr="004476CC">
        <w:rPr>
          <w:i/>
          <w:iCs/>
        </w:rPr>
        <w:t xml:space="preserve"> version of the new construction </w:t>
      </w:r>
      <w:r w:rsidR="00EE752A">
        <w:rPr>
          <w:i/>
          <w:iCs/>
        </w:rPr>
        <w:t>model ordinance</w:t>
      </w:r>
      <w:r w:rsidRPr="004476CC">
        <w:rPr>
          <w:i/>
          <w:iCs/>
        </w:rPr>
        <w:t>.  It should be customized to suit the scope of the actual ordinance</w:t>
      </w:r>
      <w:r>
        <w:rPr>
          <w:i/>
          <w:iCs/>
        </w:rPr>
        <w:t>, local findings</w:t>
      </w:r>
      <w:r w:rsidR="00911107">
        <w:rPr>
          <w:i/>
          <w:iCs/>
        </w:rPr>
        <w:t>, and climate zone</w:t>
      </w:r>
      <w:r w:rsidRPr="004476CC">
        <w:rPr>
          <w:i/>
          <w:iCs/>
        </w:rPr>
        <w:t xml:space="preserve">. </w:t>
      </w:r>
      <w:r w:rsidR="00A66983">
        <w:rPr>
          <w:i/>
          <w:iCs/>
        </w:rPr>
        <w:t>The charts are populated with data from Climate Zone 3 for illustration purposes. See companion workbook</w:t>
      </w:r>
      <w:r w:rsidR="00DF1F3C">
        <w:rPr>
          <w:i/>
          <w:iCs/>
        </w:rPr>
        <w:t>s</w:t>
      </w:r>
      <w:r w:rsidR="00A66983">
        <w:rPr>
          <w:i/>
          <w:iCs/>
        </w:rPr>
        <w:t xml:space="preserve"> for other climate zones. </w:t>
      </w:r>
      <w:r w:rsidRPr="004476CC">
        <w:rPr>
          <w:i/>
          <w:iCs/>
        </w:rPr>
        <w:t xml:space="preserve"> Instructions are in </w:t>
      </w:r>
      <w:r w:rsidRPr="00B7296D">
        <w:rPr>
          <w:rStyle w:val="Instructions"/>
        </w:rPr>
        <w:t>blue</w:t>
      </w:r>
      <w:r w:rsidRPr="004476CC">
        <w:rPr>
          <w:i/>
          <w:iCs/>
        </w:rPr>
        <w:t>.</w:t>
      </w:r>
    </w:p>
    <w:p w14:paraId="3AD3CF72" w14:textId="553EA494" w:rsidR="00063029" w:rsidRDefault="00191C95" w:rsidP="00191C95">
      <w:pPr>
        <w:tabs>
          <w:tab w:val="left" w:pos="8268"/>
        </w:tabs>
        <w:rPr>
          <w:i/>
          <w:iCs/>
        </w:rPr>
      </w:pPr>
      <w:r>
        <w:rPr>
          <w:i/>
          <w:iCs/>
        </w:rPr>
        <w:tab/>
      </w:r>
    </w:p>
    <w:p w14:paraId="5A947A82" w14:textId="77777777" w:rsidR="00063029" w:rsidRPr="004476CC" w:rsidRDefault="00063029" w:rsidP="00063029">
      <w:pPr>
        <w:rPr>
          <w:i/>
          <w:iCs/>
        </w:rPr>
      </w:pPr>
      <w:r>
        <w:rPr>
          <w:i/>
          <w:iCs/>
        </w:rPr>
        <w:t xml:space="preserve">The most recent version of this template and related documents may be downloaded </w:t>
      </w:r>
      <w:hyperlink r:id="rId14" w:history="1">
        <w:r w:rsidRPr="00C03642">
          <w:rPr>
            <w:rStyle w:val="Hyperlink"/>
            <w:i/>
            <w:iCs/>
          </w:rPr>
          <w:t>here</w:t>
        </w:r>
      </w:hyperlink>
      <w:r>
        <w:rPr>
          <w:i/>
          <w:iCs/>
        </w:rPr>
        <w:t>.</w:t>
      </w:r>
    </w:p>
    <w:p w14:paraId="2F1FE419" w14:textId="3CB3D139" w:rsidR="005768EC" w:rsidRPr="0033553A" w:rsidRDefault="005768EC" w:rsidP="00A12FB7">
      <w:pPr>
        <w:pStyle w:val="Heading1"/>
        <w:rPr>
          <w:rFonts w:ascii="Times New Roman" w:hAnsi="Times New Roman"/>
        </w:rPr>
      </w:pPr>
      <w:r w:rsidRPr="0033553A">
        <w:rPr>
          <w:rFonts w:ascii="Times New Roman" w:hAnsi="Times New Roman"/>
        </w:rPr>
        <w:t>RECOMMENDATION</w:t>
      </w:r>
    </w:p>
    <w:p w14:paraId="0DFD2D38" w14:textId="41E3E255" w:rsidR="005768EC" w:rsidRPr="0033553A" w:rsidRDefault="005768EC" w:rsidP="005768EC">
      <w:r w:rsidRPr="0033553A">
        <w:t xml:space="preserve">That Council adopt the first reading of an Ordinance amending the building code to require </w:t>
      </w:r>
      <w:r w:rsidR="00617E1D" w:rsidRPr="0033553A">
        <w:t>newly constructed buildings</w:t>
      </w:r>
      <w:r w:rsidR="00676BE9">
        <w:t xml:space="preserve"> </w:t>
      </w:r>
      <w:r w:rsidR="00617E1D" w:rsidRPr="0033553A">
        <w:t xml:space="preserve">to meet stricter energy efficiency and renewable energy requirements </w:t>
      </w:r>
      <w:r w:rsidR="00911107" w:rsidRPr="00911107">
        <w:rPr>
          <w:rStyle w:val="Instructions"/>
        </w:rPr>
        <w:t>[option]</w:t>
      </w:r>
      <w:r w:rsidR="00911107">
        <w:t xml:space="preserve"> </w:t>
      </w:r>
      <w:r w:rsidR="00617E1D" w:rsidRPr="0033553A">
        <w:t xml:space="preserve">and </w:t>
      </w:r>
      <w:r w:rsidR="00553FC2">
        <w:t xml:space="preserve">to require that </w:t>
      </w:r>
      <w:r w:rsidR="00103400">
        <w:t>building</w:t>
      </w:r>
      <w:r w:rsidR="00553FC2">
        <w:t xml:space="preserve">s which </w:t>
      </w:r>
      <w:r w:rsidR="00103400">
        <w:t xml:space="preserve">are served by natural gas or propane </w:t>
      </w:r>
      <w:r w:rsidR="00676BE9">
        <w:t xml:space="preserve">be </w:t>
      </w:r>
      <w:r w:rsidR="00617E1D" w:rsidRPr="0033553A">
        <w:t>const</w:t>
      </w:r>
      <w:r w:rsidR="0061289B" w:rsidRPr="0033553A">
        <w:t>r</w:t>
      </w:r>
      <w:r w:rsidR="00617E1D" w:rsidRPr="0033553A">
        <w:t xml:space="preserve">ucted </w:t>
      </w:r>
      <w:r w:rsidR="00676BE9">
        <w:t>so that they are</w:t>
      </w:r>
      <w:r w:rsidR="00617E1D" w:rsidRPr="0033553A">
        <w:t xml:space="preserve"> ready for conversion to all-electric service</w:t>
      </w:r>
      <w:r w:rsidR="0061289B" w:rsidRPr="0033553A">
        <w:t>.</w:t>
      </w:r>
    </w:p>
    <w:p w14:paraId="44BC83B4" w14:textId="668E343E" w:rsidR="005768EC" w:rsidRPr="0033553A" w:rsidRDefault="005768EC" w:rsidP="00A12FB7">
      <w:pPr>
        <w:pStyle w:val="Heading1"/>
        <w:rPr>
          <w:rFonts w:ascii="Times New Roman" w:hAnsi="Times New Roman"/>
        </w:rPr>
      </w:pPr>
      <w:r w:rsidRPr="0033553A">
        <w:rPr>
          <w:rFonts w:ascii="Times New Roman" w:hAnsi="Times New Roman"/>
        </w:rPr>
        <w:t>BACK</w:t>
      </w:r>
      <w:r w:rsidR="00A12FB7" w:rsidRPr="0033553A">
        <w:rPr>
          <w:rFonts w:ascii="Times New Roman" w:hAnsi="Times New Roman"/>
        </w:rPr>
        <w:t>G</w:t>
      </w:r>
      <w:r w:rsidRPr="0033553A">
        <w:rPr>
          <w:rFonts w:ascii="Times New Roman" w:hAnsi="Times New Roman"/>
        </w:rPr>
        <w:t>ROUND</w:t>
      </w:r>
    </w:p>
    <w:p w14:paraId="106EDFA5" w14:textId="487A5231" w:rsidR="00703AD5" w:rsidRDefault="00300360" w:rsidP="005768EC">
      <w:r w:rsidRPr="00703AD5">
        <w:t>The State has set ambitious renewable energy targets for new construction</w:t>
      </w:r>
      <w:r w:rsidR="000E1C2A">
        <w:t xml:space="preserve"> -- </w:t>
      </w:r>
      <w:r w:rsidRPr="00703AD5">
        <w:t xml:space="preserve">it aims to achieve zero-net-energy (ZNE) for all new residential buildings by 2020 and </w:t>
      </w:r>
      <w:r w:rsidR="001B2A74" w:rsidRPr="00703AD5">
        <w:t xml:space="preserve">for all </w:t>
      </w:r>
      <w:r w:rsidRPr="00703AD5">
        <w:t xml:space="preserve">nonresidential buildings </w:t>
      </w:r>
      <w:r w:rsidR="000663A1">
        <w:t xml:space="preserve">(including high-rise residential) </w:t>
      </w:r>
      <w:r w:rsidRPr="00703AD5">
        <w:t xml:space="preserve">by 2030.  </w:t>
      </w:r>
      <w:r w:rsidR="00617E1D" w:rsidRPr="00703AD5">
        <w:t xml:space="preserve">One of the State’s policy mechanisms is to </w:t>
      </w:r>
      <w:r w:rsidR="0061289B" w:rsidRPr="00703AD5">
        <w:t xml:space="preserve">include energy efficiency and renewable energy requirements in the energy code, which is part of the State building code and must be adopted and enforced by local agencies.  </w:t>
      </w:r>
    </w:p>
    <w:p w14:paraId="120A1629" w14:textId="77777777" w:rsidR="00883E37" w:rsidRPr="00703AD5" w:rsidRDefault="00883E37" w:rsidP="005768EC"/>
    <w:p w14:paraId="4880E17E" w14:textId="32A9B6EB" w:rsidR="005244F1" w:rsidRDefault="0061289B" w:rsidP="005768EC">
      <w:r w:rsidRPr="00703AD5">
        <w:t xml:space="preserve">While the requirements </w:t>
      </w:r>
      <w:r w:rsidR="008D125C" w:rsidRPr="00703AD5">
        <w:t>of</w:t>
      </w:r>
      <w:r w:rsidRPr="00703AD5">
        <w:t xml:space="preserve"> the 2019 version of the code</w:t>
      </w:r>
      <w:r w:rsidR="000663A1">
        <w:t xml:space="preserve"> </w:t>
      </w:r>
      <w:r w:rsidR="000663A1" w:rsidRPr="00703AD5">
        <w:t xml:space="preserve">(effective on January 1, 2020) </w:t>
      </w:r>
      <w:r w:rsidR="008D125C" w:rsidRPr="00703AD5">
        <w:t xml:space="preserve">move in the direction of </w:t>
      </w:r>
      <w:r w:rsidR="000E1C2A">
        <w:t>ZNE</w:t>
      </w:r>
      <w:r w:rsidR="008D125C" w:rsidRPr="00703AD5">
        <w:t xml:space="preserve"> performance</w:t>
      </w:r>
      <w:r w:rsidRPr="00703AD5">
        <w:t xml:space="preserve">, there </w:t>
      </w:r>
      <w:r w:rsidR="008D125C" w:rsidRPr="00703AD5">
        <w:t xml:space="preserve">are opportunities to </w:t>
      </w:r>
      <w:r w:rsidR="00EE752A">
        <w:t xml:space="preserve">achieve greater energy savings and </w:t>
      </w:r>
      <w:r w:rsidR="008D125C" w:rsidRPr="00703AD5">
        <w:t xml:space="preserve">accelerate </w:t>
      </w:r>
      <w:r w:rsidR="00CF3520" w:rsidRPr="00703AD5">
        <w:t xml:space="preserve">decarbonization </w:t>
      </w:r>
      <w:r w:rsidR="008D125C" w:rsidRPr="00703AD5">
        <w:t xml:space="preserve">by improving energy </w:t>
      </w:r>
      <w:r w:rsidR="00482E03">
        <w:t>efficiency and renewable standards</w:t>
      </w:r>
      <w:r w:rsidR="008D125C" w:rsidRPr="0033553A">
        <w:t>.</w:t>
      </w:r>
      <w:r w:rsidRPr="0033553A">
        <w:t xml:space="preserve"> </w:t>
      </w:r>
      <w:r w:rsidR="008D125C" w:rsidRPr="0033553A">
        <w:t xml:space="preserve"> Such </w:t>
      </w:r>
      <w:r w:rsidRPr="0033553A">
        <w:t xml:space="preserve">opportunities can be incorporated into the </w:t>
      </w:r>
      <w:r w:rsidR="008D125C" w:rsidRPr="0033553A">
        <w:t xml:space="preserve">building </w:t>
      </w:r>
      <w:r w:rsidRPr="0033553A">
        <w:t>code as local amendments, known as reach codes.</w:t>
      </w:r>
      <w:r w:rsidR="004476CC">
        <w:t xml:space="preserve"> </w:t>
      </w:r>
    </w:p>
    <w:p w14:paraId="0FC83A65" w14:textId="77777777" w:rsidR="00883E37" w:rsidRPr="0033553A" w:rsidRDefault="00883E37" w:rsidP="005768EC"/>
    <w:p w14:paraId="21C4CA23" w14:textId="49B05A18" w:rsidR="005244F1" w:rsidRPr="0033553A" w:rsidRDefault="005244F1" w:rsidP="005244F1">
      <w:r w:rsidRPr="0033553A">
        <w:t xml:space="preserve">The proposed Ordinance would amend the </w:t>
      </w:r>
      <w:r w:rsidR="00676BE9">
        <w:t>b</w:t>
      </w:r>
      <w:r w:rsidRPr="0033553A">
        <w:t xml:space="preserve">uilding </w:t>
      </w:r>
      <w:r w:rsidR="00676BE9">
        <w:t>c</w:t>
      </w:r>
      <w:r w:rsidRPr="0033553A">
        <w:t>ode to require the following:</w:t>
      </w:r>
    </w:p>
    <w:p w14:paraId="56FBCAF3" w14:textId="17E953D9" w:rsidR="004E3E3D" w:rsidRPr="004E3E3D" w:rsidRDefault="00CD2834" w:rsidP="004E3E3D">
      <w:pPr>
        <w:pStyle w:val="ListParagraph"/>
        <w:numPr>
          <w:ilvl w:val="0"/>
          <w:numId w:val="7"/>
        </w:numPr>
        <w:rPr>
          <w:rStyle w:val="Instructions"/>
          <w:rFonts w:ascii="Times New Roman" w:hAnsi="Times New Roman" w:cs="Times New Roman"/>
          <w:b w:val="0"/>
          <w:bCs/>
          <w:i w:val="0"/>
          <w:caps/>
          <w:color w:val="000000"/>
        </w:rPr>
      </w:pPr>
      <w:r w:rsidRPr="0033553A">
        <w:rPr>
          <w:rFonts w:ascii="Times New Roman" w:hAnsi="Times New Roman" w:cs="Times New Roman"/>
        </w:rPr>
        <w:t xml:space="preserve">Newly constructed buildings are to </w:t>
      </w:r>
      <w:r w:rsidR="00CF3520">
        <w:rPr>
          <w:rFonts w:ascii="Times New Roman" w:hAnsi="Times New Roman" w:cs="Times New Roman"/>
        </w:rPr>
        <w:t xml:space="preserve">comply with stricter </w:t>
      </w:r>
      <w:r w:rsidRPr="0033553A">
        <w:rPr>
          <w:rFonts w:ascii="Times New Roman" w:hAnsi="Times New Roman" w:cs="Times New Roman"/>
        </w:rPr>
        <w:t xml:space="preserve">energy </w:t>
      </w:r>
      <w:r w:rsidR="00CF3520">
        <w:rPr>
          <w:rFonts w:ascii="Times New Roman" w:hAnsi="Times New Roman" w:cs="Times New Roman"/>
        </w:rPr>
        <w:t xml:space="preserve">standards </w:t>
      </w:r>
      <w:r w:rsidRPr="0033553A">
        <w:rPr>
          <w:rFonts w:ascii="Times New Roman" w:hAnsi="Times New Roman" w:cs="Times New Roman"/>
        </w:rPr>
        <w:t>through a combination of energy efficiency, renewable energy and energy storage</w:t>
      </w:r>
      <w:r w:rsidR="004E3E3D">
        <w:rPr>
          <w:rFonts w:ascii="Times New Roman" w:hAnsi="Times New Roman" w:cs="Times New Roman"/>
        </w:rPr>
        <w:t>.</w:t>
      </w:r>
    </w:p>
    <w:p w14:paraId="52EF1F03" w14:textId="3ADC2B2D" w:rsidR="00ED59EE" w:rsidRPr="0033553A" w:rsidRDefault="004E3E3D" w:rsidP="00ED59EE">
      <w:pPr>
        <w:pStyle w:val="ListParagraph"/>
        <w:numPr>
          <w:ilvl w:val="0"/>
          <w:numId w:val="7"/>
        </w:numPr>
        <w:rPr>
          <w:rFonts w:ascii="Times New Roman" w:hAnsi="Times New Roman" w:cs="Times New Roman"/>
        </w:rPr>
      </w:pPr>
      <w:r w:rsidRPr="004E3E3D">
        <w:rPr>
          <w:rStyle w:val="Instructions"/>
        </w:rPr>
        <w:t>[Electrification Ready Supplement]</w:t>
      </w:r>
      <w:r>
        <w:rPr>
          <w:rFonts w:ascii="Times New Roman" w:hAnsi="Times New Roman" w:cs="Times New Roman"/>
        </w:rPr>
        <w:t xml:space="preserve"> </w:t>
      </w:r>
      <w:r w:rsidR="005244F1" w:rsidRPr="0033553A">
        <w:rPr>
          <w:rFonts w:ascii="Times New Roman" w:hAnsi="Times New Roman" w:cs="Times New Roman"/>
        </w:rPr>
        <w:t>New construction, including additions, are to be powered solely by electricity or include the necessary infrastructure to convert to all-electric in the future</w:t>
      </w:r>
      <w:r w:rsidR="0039357E">
        <w:rPr>
          <w:rFonts w:ascii="Times New Roman" w:hAnsi="Times New Roman" w:cs="Times New Roman"/>
        </w:rPr>
        <w:t>, with exceptions for industrial processes and commercial kitchens.</w:t>
      </w:r>
    </w:p>
    <w:p w14:paraId="20D7059F" w14:textId="77777777" w:rsidR="00CD2834" w:rsidRDefault="00CD2834" w:rsidP="00CD2834"/>
    <w:p w14:paraId="24FDF967" w14:textId="109005F4" w:rsidR="00CD2834" w:rsidRPr="00CD2834" w:rsidRDefault="00CF3520" w:rsidP="00CD2834">
      <w:r>
        <w:t xml:space="preserve">Higher energy standards are critical </w:t>
      </w:r>
      <w:r w:rsidR="000E1C2A">
        <w:t xml:space="preserve">to </w:t>
      </w:r>
      <w:r>
        <w:t>decarbonization.  High</w:t>
      </w:r>
      <w:r w:rsidR="000E1C2A">
        <w:t>-</w:t>
      </w:r>
      <w:r>
        <w:t>efficiency equipment and design will lower energy requirements and reduce demand for fossil fuel</w:t>
      </w:r>
      <w:r w:rsidR="004476CC">
        <w:t>s</w:t>
      </w:r>
      <w:r w:rsidR="000663A1">
        <w:t xml:space="preserve"> and on-site renewables.</w:t>
      </w:r>
    </w:p>
    <w:p w14:paraId="291EFDDE" w14:textId="77777777" w:rsidR="00CD2834" w:rsidRDefault="00CD2834" w:rsidP="00CD2834"/>
    <w:p w14:paraId="15028366" w14:textId="374774DF" w:rsidR="00CD2834" w:rsidRDefault="00CF3520" w:rsidP="00CD2834">
      <w:r>
        <w:t>Likewise, a</w:t>
      </w:r>
      <w:r w:rsidR="00CD2834" w:rsidRPr="0033553A">
        <w:t xml:space="preserve">ll-electric buildings are </w:t>
      </w:r>
      <w:r w:rsidR="003C0655">
        <w:t xml:space="preserve">one of the </w:t>
      </w:r>
      <w:r w:rsidR="00CD2834" w:rsidRPr="0033553A">
        <w:t xml:space="preserve">key </w:t>
      </w:r>
      <w:r w:rsidR="003C0655">
        <w:t xml:space="preserve">strategies </w:t>
      </w:r>
      <w:r w:rsidR="00CD2834" w:rsidRPr="0033553A">
        <w:t xml:space="preserve">to </w:t>
      </w:r>
      <w:r w:rsidR="003C0655" w:rsidRPr="0033553A">
        <w:t>decarboniz</w:t>
      </w:r>
      <w:r w:rsidR="003C0655">
        <w:t>ing</w:t>
      </w:r>
      <w:r w:rsidR="003C0655" w:rsidRPr="0033553A">
        <w:t xml:space="preserve"> </w:t>
      </w:r>
      <w:r w:rsidR="00CD2834" w:rsidRPr="0033553A">
        <w:t xml:space="preserve">the state’s building stock.  The state’s electric system is rapidly becoming cleaner, driven by escalating renewable portfolio standards and cleaner product offerings by the utilities and community choice </w:t>
      </w:r>
      <w:r w:rsidR="00CD2834" w:rsidRPr="0033553A">
        <w:lastRenderedPageBreak/>
        <w:t xml:space="preserve">aggregators (CCAs) </w:t>
      </w:r>
      <w:r w:rsidR="00CD2834" w:rsidRPr="0033553A">
        <w:rPr>
          <w:rStyle w:val="Instructions"/>
        </w:rPr>
        <w:t>[local specifics may be added here]</w:t>
      </w:r>
      <w:r w:rsidR="00CD2834" w:rsidRPr="0033553A">
        <w:t xml:space="preserve">.  And while it is theoretically possible to power buildings with renewable natural gas, there </w:t>
      </w:r>
      <w:r w:rsidR="000E1C2A">
        <w:t xml:space="preserve">currently </w:t>
      </w:r>
      <w:r w:rsidR="00CD2834" w:rsidRPr="0033553A">
        <w:t>is no plan</w:t>
      </w:r>
      <w:r w:rsidR="00103400">
        <w:t xml:space="preserve"> </w:t>
      </w:r>
      <w:r w:rsidR="00CD2834" w:rsidRPr="0033553A">
        <w:t>for large-scale conversion to renewable natural gas.</w:t>
      </w:r>
    </w:p>
    <w:p w14:paraId="1C77A4D7" w14:textId="77777777" w:rsidR="00CD2834" w:rsidRPr="0033553A" w:rsidRDefault="00CD2834" w:rsidP="00CD2834"/>
    <w:p w14:paraId="34FB9C34" w14:textId="593F7D48" w:rsidR="00CD2834" w:rsidRDefault="00CD2834" w:rsidP="00CD2834">
      <w:r w:rsidRPr="0033553A">
        <w:t>In addition, advances in electric heat pumps and other electrical equipment are yielding much higher overall efficiencies</w:t>
      </w:r>
      <w:r w:rsidR="00E526AE">
        <w:t xml:space="preserve"> than their natural gas counterparts</w:t>
      </w:r>
      <w:r w:rsidRPr="0033553A">
        <w:t xml:space="preserve">.  Electric heat pumps, unlike </w:t>
      </w:r>
      <w:r w:rsidR="004476CC">
        <w:t>traditional</w:t>
      </w:r>
      <w:r w:rsidRPr="0033553A">
        <w:t xml:space="preserve"> electric resistance heaters, do not generate heat, but concentrate and transfer it for end uses such as space conditioning and water heating.  This process uses less primary energy and emits much less carbon, particularly when it is powered by renewable energy.</w:t>
      </w:r>
    </w:p>
    <w:p w14:paraId="33A45766" w14:textId="77777777" w:rsidR="00CD2834" w:rsidRPr="0033553A" w:rsidRDefault="00CD2834" w:rsidP="00CD2834"/>
    <w:p w14:paraId="1225DE62" w14:textId="1CEABBDB" w:rsidR="00E526AE" w:rsidRDefault="00E526AE" w:rsidP="00E526AE">
      <w:r>
        <w:t>M</w:t>
      </w:r>
      <w:r w:rsidRPr="0033553A">
        <w:t xml:space="preserve">any </w:t>
      </w:r>
      <w:r>
        <w:t xml:space="preserve">forms of renewable energy </w:t>
      </w:r>
      <w:r w:rsidRPr="0033553A">
        <w:t xml:space="preserve">are not dispatchable, that is, </w:t>
      </w:r>
      <w:r>
        <w:t xml:space="preserve">they </w:t>
      </w:r>
      <w:r w:rsidRPr="0033553A">
        <w:t>cannot be ramped up to match demand on a real-time basis.</w:t>
      </w:r>
      <w:r>
        <w:t xml:space="preserve"> However, e</w:t>
      </w:r>
      <w:r w:rsidRPr="0033553A">
        <w:t>nergy storage and load shifting technologies, combined with dynamic electricity pricing structures</w:t>
      </w:r>
      <w:r>
        <w:t xml:space="preserve"> are helping overcome these limi</w:t>
      </w:r>
      <w:r w:rsidR="000279B0">
        <w:t>t</w:t>
      </w:r>
      <w:r>
        <w:t xml:space="preserve">ations. </w:t>
      </w:r>
      <w:r w:rsidRPr="0033553A">
        <w:t xml:space="preserve">Batteries, smart buildings and financial incentives enable alignment of the </w:t>
      </w:r>
      <w:r>
        <w:t xml:space="preserve">consumer </w:t>
      </w:r>
      <w:r w:rsidRPr="0033553A">
        <w:t>demand and supply from intermittent renewable sources such as solar and wind.</w:t>
      </w:r>
    </w:p>
    <w:p w14:paraId="2FA1AEE0" w14:textId="77777777" w:rsidR="00CD2834" w:rsidRPr="00CD2834" w:rsidRDefault="00CD2834" w:rsidP="00CD2834"/>
    <w:p w14:paraId="2983D471" w14:textId="44CD9844" w:rsidR="00FB4DB8" w:rsidRDefault="00CF3520" w:rsidP="00FB4DB8">
      <w:r>
        <w:t xml:space="preserve">The proposed </w:t>
      </w:r>
      <w:r w:rsidR="00E526AE">
        <w:t xml:space="preserve">building code </w:t>
      </w:r>
      <w:r>
        <w:t xml:space="preserve">amendments must be approved by the </w:t>
      </w:r>
      <w:r w:rsidR="00AB450F" w:rsidRPr="0033553A">
        <w:t>California Energy Commission</w:t>
      </w:r>
      <w:r>
        <w:t xml:space="preserve">. To be approved, </w:t>
      </w:r>
      <w:r w:rsidR="00AB450F" w:rsidRPr="0033553A">
        <w:t xml:space="preserve">the energy </w:t>
      </w:r>
      <w:r>
        <w:t xml:space="preserve">standards </w:t>
      </w:r>
      <w:r w:rsidR="00AB450F" w:rsidRPr="0033553A">
        <w:t xml:space="preserve">of the reach code must be </w:t>
      </w:r>
      <w:r w:rsidR="00103400">
        <w:t xml:space="preserve">cost-effective and result in a reduction in energy use beyond </w:t>
      </w:r>
      <w:r w:rsidR="00AB450F" w:rsidRPr="0033553A">
        <w:t>the State code.  A study commissioned by the State’s utilities has found that the energy performance requirements of the proposed ordinance satisf</w:t>
      </w:r>
      <w:r w:rsidR="00E36FA2" w:rsidRPr="0033553A">
        <w:t>y</w:t>
      </w:r>
      <w:r w:rsidR="00AB450F" w:rsidRPr="0033553A">
        <w:t xml:space="preserve"> these conditions.</w:t>
      </w:r>
    </w:p>
    <w:p w14:paraId="7DF64050" w14:textId="77777777" w:rsidR="00883E37" w:rsidRPr="0033553A" w:rsidRDefault="00883E37" w:rsidP="00FB4DB8"/>
    <w:p w14:paraId="3E57B0C6" w14:textId="61EA3B72" w:rsidR="00E526AE" w:rsidRDefault="00E526AE" w:rsidP="00E526AE">
      <w:r>
        <w:t xml:space="preserve">The all-electric readiness requirements are designed to enable buildings initially equipped with natural </w:t>
      </w:r>
      <w:r w:rsidR="00055557">
        <w:t xml:space="preserve">gas </w:t>
      </w:r>
      <w:r>
        <w:t xml:space="preserve">appliances to replace them with electric appliances at a later time without having to make electrical capacity upgrades or make other changes to the building. </w:t>
      </w:r>
      <w:r w:rsidRPr="0033553A">
        <w:t>The all-electric readiness requirements are based on findings that all-electric buildings cause fewer GHG emissions.  There are no cost-effectiveness findings for these provisions since, by themselves, they do not reduce energy</w:t>
      </w:r>
      <w:r>
        <w:t xml:space="preserve">. Including these is prudent as they are </w:t>
      </w:r>
      <w:r w:rsidRPr="0033553A">
        <w:t>relatively inexpensive</w:t>
      </w:r>
      <w:r>
        <w:t xml:space="preserve"> at the time of initial construction while enabling buildings to avoid </w:t>
      </w:r>
      <w:r w:rsidR="00055557">
        <w:t xml:space="preserve">much </w:t>
      </w:r>
      <w:r>
        <w:t>higher conversion costs in the future.</w:t>
      </w:r>
    </w:p>
    <w:p w14:paraId="1C4E4BA8" w14:textId="77777777" w:rsidR="00883E37" w:rsidRPr="0033553A" w:rsidRDefault="00883E37" w:rsidP="00FB4DB8"/>
    <w:p w14:paraId="7C75B5C9" w14:textId="77777777" w:rsidR="00ED5BF5" w:rsidRPr="0033553A" w:rsidRDefault="00ED5BF5" w:rsidP="00ED5BF5">
      <w:pPr>
        <w:pStyle w:val="Heading2"/>
        <w:rPr>
          <w:rFonts w:ascii="Times New Roman" w:hAnsi="Times New Roman" w:cs="Times New Roman"/>
        </w:rPr>
      </w:pPr>
      <w:r w:rsidRPr="0033553A">
        <w:rPr>
          <w:rFonts w:ascii="Times New Roman" w:hAnsi="Times New Roman" w:cs="Times New Roman"/>
        </w:rPr>
        <w:t>Ordinance Development Process</w:t>
      </w:r>
    </w:p>
    <w:p w14:paraId="231BCC34" w14:textId="793D244D" w:rsidR="00ED5BF5" w:rsidRDefault="00ED5BF5" w:rsidP="00FB4DB8">
      <w:pPr>
        <w:rPr>
          <w:rStyle w:val="Instructions"/>
        </w:rPr>
      </w:pPr>
      <w:r w:rsidRPr="0033553A">
        <w:t>The basic scope of the ordinance is similar to the approach other local governments are considering</w:t>
      </w:r>
      <w:r w:rsidRPr="0033553A">
        <w:rPr>
          <w:rStyle w:val="Instructions"/>
        </w:rPr>
        <w:t>[/have adopted]</w:t>
      </w:r>
      <w:r w:rsidRPr="0033553A">
        <w:t>.  It is based on a model ordinance developed through a collaborati</w:t>
      </w:r>
      <w:r w:rsidR="000663A1">
        <w:t>ve</w:t>
      </w:r>
      <w:r w:rsidRPr="0033553A">
        <w:t xml:space="preserve"> effort involving the California Energy Commission, the State’s major utilities</w:t>
      </w:r>
      <w:r w:rsidR="009D76B4">
        <w:t>, several community choice aggregators</w:t>
      </w:r>
      <w:r w:rsidRPr="0033553A">
        <w:t xml:space="preserve"> and representatives from local governments and energy policy agencies.  </w:t>
      </w:r>
      <w:r w:rsidRPr="0033553A">
        <w:rPr>
          <w:rStyle w:val="Instructions"/>
        </w:rPr>
        <w:t>[Add section on public/stakeholder outreach process and any commission/subcommittee actions]</w:t>
      </w:r>
    </w:p>
    <w:p w14:paraId="0DBC80D2" w14:textId="77777777" w:rsidR="00883E37" w:rsidRPr="00883E37" w:rsidRDefault="00883E37" w:rsidP="00FB4DB8">
      <w:pPr>
        <w:rPr>
          <w:rStyle w:val="Instructions"/>
        </w:rPr>
      </w:pPr>
    </w:p>
    <w:p w14:paraId="264CC270" w14:textId="77777777" w:rsidR="00ED5BF5" w:rsidRPr="0033553A" w:rsidRDefault="00ED5BF5" w:rsidP="00ED5BF5">
      <w:pPr>
        <w:pStyle w:val="Heading2"/>
        <w:rPr>
          <w:rFonts w:ascii="Times New Roman" w:hAnsi="Times New Roman" w:cs="Times New Roman"/>
        </w:rPr>
      </w:pPr>
      <w:r w:rsidRPr="0033553A">
        <w:rPr>
          <w:rFonts w:ascii="Times New Roman" w:hAnsi="Times New Roman" w:cs="Times New Roman"/>
        </w:rPr>
        <w:t>Implementation</w:t>
      </w:r>
    </w:p>
    <w:p w14:paraId="689E91D0" w14:textId="6D425EB5" w:rsidR="00ED5BF5" w:rsidRPr="00B75A5B" w:rsidRDefault="00ED5BF5" w:rsidP="00FB4DB8">
      <w:pPr>
        <w:rPr>
          <w:rStyle w:val="Instructions"/>
        </w:rPr>
      </w:pPr>
      <w:r w:rsidRPr="0033553A">
        <w:t xml:space="preserve">The ordinance will become effective upon approval by the California Energy Commission, which is expected within 90 days of adoption.  It will be administered as part of the normal building permit process.  Staff training </w:t>
      </w:r>
      <w:r w:rsidR="004E1A59">
        <w:t xml:space="preserve">will be conducted prior to the effective date.  </w:t>
      </w:r>
      <w:r w:rsidRPr="0033553A">
        <w:t xml:space="preserve">Notices of the requirements will be posted at the Permit Service counter and will be </w:t>
      </w:r>
      <w:r w:rsidRPr="00B75A5B">
        <w:rPr>
          <w:rStyle w:val="Instructions"/>
        </w:rPr>
        <w:t>[add other outreach plans such as newsletters, list serves, etc.]</w:t>
      </w:r>
    </w:p>
    <w:p w14:paraId="00EADF26" w14:textId="2D09F9C3" w:rsidR="005768EC" w:rsidRPr="0033553A" w:rsidRDefault="00E526AE" w:rsidP="00A12FB7">
      <w:pPr>
        <w:pStyle w:val="Heading1"/>
        <w:rPr>
          <w:rFonts w:ascii="Times New Roman" w:hAnsi="Times New Roman"/>
        </w:rPr>
      </w:pPr>
      <w:r>
        <w:rPr>
          <w:rFonts w:ascii="Times New Roman" w:hAnsi="Times New Roman"/>
        </w:rPr>
        <w:lastRenderedPageBreak/>
        <w:t>Proposed Requirements</w:t>
      </w:r>
    </w:p>
    <w:p w14:paraId="29B0D868" w14:textId="26189611" w:rsidR="00F13072" w:rsidRDefault="005768EC" w:rsidP="00703AD5">
      <w:r w:rsidRPr="007B0F7E">
        <w:t>The proposed requirements</w:t>
      </w:r>
      <w:r w:rsidR="00D956BD" w:rsidRPr="007B0F7E">
        <w:t xml:space="preserve"> </w:t>
      </w:r>
      <w:r w:rsidR="00703AD5">
        <w:t xml:space="preserve">include a set of energy standards that apply to </w:t>
      </w:r>
      <w:r w:rsidR="00B63E21">
        <w:t>most</w:t>
      </w:r>
      <w:r w:rsidR="00F13072">
        <w:t xml:space="preserve"> </w:t>
      </w:r>
      <w:r w:rsidR="00703AD5">
        <w:t xml:space="preserve">newly constructed buildings, </w:t>
      </w:r>
      <w:r w:rsidR="00911107" w:rsidRPr="00911107">
        <w:rPr>
          <w:rStyle w:val="Instructions"/>
        </w:rPr>
        <w:t>[option]</w:t>
      </w:r>
      <w:r w:rsidR="00911107">
        <w:t xml:space="preserve"> </w:t>
      </w:r>
      <w:r w:rsidR="00703AD5">
        <w:t xml:space="preserve">and a set of all-electric readiness requirements which apply to newly constructed buildings and additions that include gas </w:t>
      </w:r>
      <w:r w:rsidR="00F13072">
        <w:t xml:space="preserve">plumbing. </w:t>
      </w:r>
      <w:r w:rsidR="00032B68" w:rsidRPr="007B0F7E">
        <w:t xml:space="preserve">They </w:t>
      </w:r>
      <w:r w:rsidR="00D956BD" w:rsidRPr="007B0F7E">
        <w:t xml:space="preserve">are codified as amendments to specific sections of the California Energy Code, Title 24, </w:t>
      </w:r>
      <w:r w:rsidR="00D956BD" w:rsidRPr="00703AD5">
        <w:t>Article 6</w:t>
      </w:r>
      <w:r w:rsidR="00703AD5" w:rsidRPr="00703AD5">
        <w:t xml:space="preserve">. </w:t>
      </w:r>
    </w:p>
    <w:p w14:paraId="1F13DE25" w14:textId="77777777" w:rsidR="00F13072" w:rsidRDefault="00F13072" w:rsidP="00703AD5"/>
    <w:p w14:paraId="0FE6CF40" w14:textId="7B0B26A4" w:rsidR="00E526AE" w:rsidRDefault="00703AD5" w:rsidP="00703AD5">
      <w:r w:rsidRPr="00703AD5">
        <w:t xml:space="preserve">The </w:t>
      </w:r>
      <w:r w:rsidR="00F13072">
        <w:t>energy standards apply to all newly constructed buildings</w:t>
      </w:r>
      <w:r w:rsidR="00B63E21">
        <w:t xml:space="preserve"> except hospitals</w:t>
      </w:r>
      <w:r w:rsidR="00933DDF">
        <w:t xml:space="preserve"> and </w:t>
      </w:r>
      <w:r w:rsidRPr="00703AD5">
        <w:t>are consistent with the structure of the State code, which offers two pathways for compliance</w:t>
      </w:r>
      <w:r w:rsidR="00F13072">
        <w:t xml:space="preserve"> </w:t>
      </w:r>
      <w:r w:rsidRPr="00703AD5">
        <w:t>– a performance pathway and a prescriptive pathway</w:t>
      </w:r>
      <w:r w:rsidR="00E526AE">
        <w:t xml:space="preserve"> (certain mandatory measures apply to both pathways)</w:t>
      </w:r>
      <w:r w:rsidRPr="00703AD5">
        <w:t>.  The performance pathway allows for flexib</w:t>
      </w:r>
      <w:r w:rsidR="00482E03">
        <w:t>ility</w:t>
      </w:r>
      <w:r w:rsidRPr="00703AD5">
        <w:t xml:space="preserve"> by requiring </w:t>
      </w:r>
      <w:r w:rsidR="00E526AE">
        <w:t xml:space="preserve">building </w:t>
      </w:r>
      <w:r w:rsidRPr="00703AD5">
        <w:t xml:space="preserve">designs to </w:t>
      </w:r>
      <w:r w:rsidR="00E526AE">
        <w:t xml:space="preserve">meet </w:t>
      </w:r>
      <w:r w:rsidRPr="00703AD5">
        <w:t>energy</w:t>
      </w:r>
      <w:r w:rsidR="00E526AE">
        <w:t xml:space="preserve"> performance targets</w:t>
      </w:r>
      <w:r w:rsidRPr="00703AD5">
        <w:t>, as calculated using a building simulation.  The prescriptive pathway sets forth specific equipment and installation parameters.</w:t>
      </w:r>
      <w:r w:rsidR="00F13072">
        <w:t xml:space="preserve">  </w:t>
      </w:r>
    </w:p>
    <w:p w14:paraId="15B93534" w14:textId="77777777" w:rsidR="00E526AE" w:rsidRDefault="00E526AE" w:rsidP="00703AD5"/>
    <w:p w14:paraId="255D28ED" w14:textId="24A980A6" w:rsidR="00703AD5" w:rsidRPr="00703AD5" w:rsidRDefault="00F13072" w:rsidP="00703AD5">
      <w:r>
        <w:t>The requirements vary by building type as follows:</w:t>
      </w:r>
    </w:p>
    <w:p w14:paraId="30B965DA" w14:textId="77777777" w:rsidR="00703AD5" w:rsidRDefault="00703AD5" w:rsidP="00703AD5"/>
    <w:p w14:paraId="4AE21678" w14:textId="26140A99" w:rsidR="00433CA5" w:rsidRPr="007B0F7E" w:rsidRDefault="00433CA5" w:rsidP="00F13072">
      <w:pPr>
        <w:pStyle w:val="ListParagraph"/>
        <w:numPr>
          <w:ilvl w:val="0"/>
          <w:numId w:val="8"/>
        </w:numPr>
        <w:rPr>
          <w:rFonts w:ascii="Times New Roman" w:hAnsi="Times New Roman" w:cs="Times New Roman"/>
        </w:rPr>
      </w:pPr>
      <w:r w:rsidRPr="007B0F7E">
        <w:rPr>
          <w:rFonts w:ascii="Times New Roman" w:hAnsi="Times New Roman" w:cs="Times New Roman"/>
        </w:rPr>
        <w:t>Low-rise residential including residential occupancies in buildings of three stories or less</w:t>
      </w:r>
      <w:r w:rsidR="00ED59EE" w:rsidRPr="007B0F7E">
        <w:rPr>
          <w:rFonts w:ascii="Times New Roman" w:hAnsi="Times New Roman" w:cs="Times New Roman"/>
        </w:rPr>
        <w:t>:</w:t>
      </w:r>
    </w:p>
    <w:p w14:paraId="3DF6B807" w14:textId="490912E9" w:rsidR="00433CA5" w:rsidRDefault="00433CA5" w:rsidP="00F13072">
      <w:pPr>
        <w:pStyle w:val="ListParagraph"/>
        <w:numPr>
          <w:ilvl w:val="1"/>
          <w:numId w:val="8"/>
        </w:numPr>
        <w:rPr>
          <w:rFonts w:ascii="Times New Roman" w:hAnsi="Times New Roman" w:cs="Times New Roman"/>
        </w:rPr>
      </w:pPr>
      <w:r w:rsidRPr="007B0F7E">
        <w:rPr>
          <w:rFonts w:ascii="Times New Roman" w:hAnsi="Times New Roman" w:cs="Times New Roman"/>
        </w:rPr>
        <w:t xml:space="preserve">Section 150.1 tightens the </w:t>
      </w:r>
      <w:r w:rsidR="00032B68" w:rsidRPr="007B0F7E">
        <w:rPr>
          <w:rFonts w:ascii="Times New Roman" w:hAnsi="Times New Roman" w:cs="Times New Roman"/>
        </w:rPr>
        <w:t xml:space="preserve">energy </w:t>
      </w:r>
      <w:r w:rsidR="004E1A59" w:rsidRPr="007B0F7E">
        <w:rPr>
          <w:rFonts w:ascii="Times New Roman" w:hAnsi="Times New Roman" w:cs="Times New Roman"/>
        </w:rPr>
        <w:t xml:space="preserve">performance </w:t>
      </w:r>
      <w:r w:rsidR="00032B68" w:rsidRPr="007B0F7E">
        <w:rPr>
          <w:rFonts w:ascii="Times New Roman" w:hAnsi="Times New Roman" w:cs="Times New Roman"/>
        </w:rPr>
        <w:t xml:space="preserve">standards </w:t>
      </w:r>
      <w:r w:rsidRPr="007B0F7E">
        <w:rPr>
          <w:rFonts w:ascii="Times New Roman" w:hAnsi="Times New Roman" w:cs="Times New Roman"/>
        </w:rPr>
        <w:t>by reducing the required Energy Design Rating, a metric for energy performance where zero is a zero</w:t>
      </w:r>
      <w:r w:rsidR="009D76B4" w:rsidRPr="007B0F7E">
        <w:rPr>
          <w:rFonts w:ascii="Times New Roman" w:hAnsi="Times New Roman" w:cs="Times New Roman"/>
        </w:rPr>
        <w:t>-</w:t>
      </w:r>
      <w:r w:rsidRPr="007B0F7E">
        <w:rPr>
          <w:rFonts w:ascii="Times New Roman" w:hAnsi="Times New Roman" w:cs="Times New Roman"/>
        </w:rPr>
        <w:t>net</w:t>
      </w:r>
      <w:r w:rsidR="009D76B4" w:rsidRPr="007B0F7E">
        <w:rPr>
          <w:rFonts w:ascii="Times New Roman" w:hAnsi="Times New Roman" w:cs="Times New Roman"/>
        </w:rPr>
        <w:t>-</w:t>
      </w:r>
      <w:r w:rsidRPr="007B0F7E">
        <w:rPr>
          <w:rFonts w:ascii="Times New Roman" w:hAnsi="Times New Roman" w:cs="Times New Roman"/>
        </w:rPr>
        <w:t>energy building. This section includes certain exceptions to account for limited solar access and provides a credit if the energy analysis is performed by a Certified Energy Analyst.</w:t>
      </w:r>
      <w:r w:rsidR="004E1A59" w:rsidRPr="007B0F7E">
        <w:rPr>
          <w:rFonts w:ascii="Times New Roman" w:hAnsi="Times New Roman" w:cs="Times New Roman"/>
        </w:rPr>
        <w:t xml:space="preserve">  In lieu of the performance requirements, </w:t>
      </w:r>
      <w:r w:rsidRPr="007B0F7E">
        <w:rPr>
          <w:rFonts w:ascii="Times New Roman" w:hAnsi="Times New Roman" w:cs="Times New Roman"/>
        </w:rPr>
        <w:t>Section 150.</w:t>
      </w:r>
      <w:r w:rsidR="004F7368" w:rsidRPr="007B0F7E">
        <w:rPr>
          <w:rFonts w:ascii="Times New Roman" w:hAnsi="Times New Roman" w:cs="Times New Roman"/>
        </w:rPr>
        <w:t>1(c)16</w:t>
      </w:r>
      <w:r w:rsidRPr="007B0F7E">
        <w:rPr>
          <w:rFonts w:ascii="Times New Roman" w:hAnsi="Times New Roman" w:cs="Times New Roman"/>
        </w:rPr>
        <w:t xml:space="preserve"> </w:t>
      </w:r>
      <w:r w:rsidR="00ED59EE" w:rsidRPr="007B0F7E">
        <w:rPr>
          <w:rFonts w:ascii="Times New Roman" w:hAnsi="Times New Roman" w:cs="Times New Roman"/>
        </w:rPr>
        <w:t>specif</w:t>
      </w:r>
      <w:r w:rsidR="004E1A59" w:rsidRPr="007B0F7E">
        <w:rPr>
          <w:rFonts w:ascii="Times New Roman" w:hAnsi="Times New Roman" w:cs="Times New Roman"/>
        </w:rPr>
        <w:t>ies</w:t>
      </w:r>
      <w:r w:rsidR="00ED59EE" w:rsidRPr="007B0F7E">
        <w:rPr>
          <w:rFonts w:ascii="Times New Roman" w:hAnsi="Times New Roman" w:cs="Times New Roman"/>
        </w:rPr>
        <w:t xml:space="preserve"> additional </w:t>
      </w:r>
      <w:r w:rsidR="004E1A59" w:rsidRPr="007B0F7E">
        <w:rPr>
          <w:rFonts w:ascii="Times New Roman" w:hAnsi="Times New Roman" w:cs="Times New Roman"/>
        </w:rPr>
        <w:t xml:space="preserve">prescriptive </w:t>
      </w:r>
      <w:r w:rsidR="00ED59EE" w:rsidRPr="007B0F7E">
        <w:rPr>
          <w:rFonts w:ascii="Times New Roman" w:hAnsi="Times New Roman" w:cs="Times New Roman"/>
        </w:rPr>
        <w:t>measures and higher standards for systems and components.</w:t>
      </w:r>
    </w:p>
    <w:p w14:paraId="7C273E98" w14:textId="12FB3F48" w:rsidR="00F13072" w:rsidRPr="00933DDF" w:rsidRDefault="00F13072" w:rsidP="00F13072">
      <w:pPr>
        <w:pStyle w:val="ListParagraph"/>
        <w:numPr>
          <w:ilvl w:val="1"/>
          <w:numId w:val="8"/>
        </w:numPr>
        <w:rPr>
          <w:rFonts w:ascii="Times New Roman" w:hAnsi="Times New Roman" w:cs="Times New Roman"/>
        </w:rPr>
      </w:pPr>
      <w:r>
        <w:rPr>
          <w:rFonts w:ascii="Times New Roman" w:hAnsi="Times New Roman" w:cs="Times New Roman"/>
        </w:rPr>
        <w:t xml:space="preserve">Accessory dwelling </w:t>
      </w:r>
      <w:r w:rsidRPr="00933DDF">
        <w:rPr>
          <w:rFonts w:ascii="Times New Roman" w:hAnsi="Times New Roman" w:cs="Times New Roman"/>
        </w:rPr>
        <w:t>units less than 400 square feet are exempt</w:t>
      </w:r>
      <w:r w:rsidR="00933DDF" w:rsidRPr="00933DDF">
        <w:rPr>
          <w:rFonts w:ascii="Times New Roman" w:hAnsi="Times New Roman" w:cs="Times New Roman"/>
        </w:rPr>
        <w:t xml:space="preserve"> per S</w:t>
      </w:r>
      <w:r w:rsidR="00933DDF" w:rsidRPr="00933DDF">
        <w:rPr>
          <w:rFonts w:ascii="Times New Roman" w:eastAsia="Times New Roman" w:hAnsi="Times New Roman" w:cs="Times New Roman"/>
        </w:rPr>
        <w:t>ection 150.1(b)1</w:t>
      </w:r>
      <w:r w:rsidR="00933DDF">
        <w:rPr>
          <w:rFonts w:ascii="Times New Roman" w:eastAsia="Times New Roman" w:hAnsi="Times New Roman" w:cs="Times New Roman"/>
        </w:rPr>
        <w:t>.</w:t>
      </w:r>
    </w:p>
    <w:p w14:paraId="57F98731" w14:textId="43FC94E4" w:rsidR="00CC7578" w:rsidRPr="007B0F7E" w:rsidRDefault="00032B68" w:rsidP="00F13072">
      <w:pPr>
        <w:pStyle w:val="ListParagraph"/>
        <w:numPr>
          <w:ilvl w:val="0"/>
          <w:numId w:val="8"/>
        </w:numPr>
        <w:rPr>
          <w:rFonts w:ascii="Times New Roman" w:hAnsi="Times New Roman" w:cs="Times New Roman"/>
        </w:rPr>
      </w:pPr>
      <w:r w:rsidRPr="007B0F7E">
        <w:rPr>
          <w:rFonts w:ascii="Times New Roman" w:hAnsi="Times New Roman" w:cs="Times New Roman"/>
        </w:rPr>
        <w:t>Nonresidential buildings, including high-rise residential</w:t>
      </w:r>
      <w:r w:rsidR="00ED59EE" w:rsidRPr="007B0F7E">
        <w:rPr>
          <w:rFonts w:ascii="Times New Roman" w:hAnsi="Times New Roman" w:cs="Times New Roman"/>
        </w:rPr>
        <w:t>:</w:t>
      </w:r>
    </w:p>
    <w:p w14:paraId="04A23C19" w14:textId="26D403EE" w:rsidR="006E488C" w:rsidRPr="007B0F7E" w:rsidRDefault="006E488C" w:rsidP="00F13072">
      <w:pPr>
        <w:pStyle w:val="ListParagraph"/>
        <w:numPr>
          <w:ilvl w:val="1"/>
          <w:numId w:val="8"/>
        </w:numPr>
        <w:rPr>
          <w:rFonts w:ascii="Times New Roman" w:hAnsi="Times New Roman" w:cs="Times New Roman"/>
        </w:rPr>
      </w:pPr>
      <w:r w:rsidRPr="007B0F7E">
        <w:rPr>
          <w:rFonts w:ascii="Times New Roman" w:hAnsi="Times New Roman" w:cs="Times New Roman"/>
        </w:rPr>
        <w:t xml:space="preserve">Section 140.0(b)1 </w:t>
      </w:r>
      <w:r w:rsidR="00D956BD" w:rsidRPr="007B0F7E">
        <w:rPr>
          <w:rFonts w:ascii="Times New Roman" w:hAnsi="Times New Roman" w:cs="Times New Roman"/>
        </w:rPr>
        <w:t>require</w:t>
      </w:r>
      <w:r w:rsidRPr="007B0F7E">
        <w:rPr>
          <w:rFonts w:ascii="Times New Roman" w:hAnsi="Times New Roman" w:cs="Times New Roman"/>
        </w:rPr>
        <w:t>s</w:t>
      </w:r>
      <w:r w:rsidR="00D956BD" w:rsidRPr="007B0F7E">
        <w:rPr>
          <w:rFonts w:ascii="Times New Roman" w:hAnsi="Times New Roman" w:cs="Times New Roman"/>
        </w:rPr>
        <w:t xml:space="preserve"> that solar </w:t>
      </w:r>
      <w:r w:rsidR="00B76880">
        <w:rPr>
          <w:rFonts w:ascii="Times New Roman" w:hAnsi="Times New Roman" w:cs="Times New Roman"/>
        </w:rPr>
        <w:t xml:space="preserve">PV </w:t>
      </w:r>
      <w:r w:rsidR="00D956BD" w:rsidRPr="007B0F7E">
        <w:rPr>
          <w:rFonts w:ascii="Times New Roman" w:hAnsi="Times New Roman" w:cs="Times New Roman"/>
        </w:rPr>
        <w:t>panels be installed</w:t>
      </w:r>
      <w:r w:rsidRPr="007B0F7E">
        <w:rPr>
          <w:rFonts w:ascii="Times New Roman" w:hAnsi="Times New Roman" w:cs="Times New Roman"/>
        </w:rPr>
        <w:t xml:space="preserve"> on a minimum of 15% of the roof area</w:t>
      </w:r>
      <w:r w:rsidR="000663A1">
        <w:rPr>
          <w:rFonts w:ascii="Times New Roman" w:hAnsi="Times New Roman" w:cs="Times New Roman"/>
        </w:rPr>
        <w:t>, the same area that is required to be solar-ready under the State code</w:t>
      </w:r>
      <w:r w:rsidRPr="007B0F7E">
        <w:rPr>
          <w:rFonts w:ascii="Times New Roman" w:hAnsi="Times New Roman" w:cs="Times New Roman"/>
        </w:rPr>
        <w:t xml:space="preserve">.  The code has exceptions </w:t>
      </w:r>
      <w:r w:rsidR="004F7368" w:rsidRPr="007B0F7E">
        <w:rPr>
          <w:rFonts w:ascii="Times New Roman" w:hAnsi="Times New Roman" w:cs="Times New Roman"/>
        </w:rPr>
        <w:t xml:space="preserve">to the solar zone requirement </w:t>
      </w:r>
      <w:r w:rsidRPr="007B0F7E">
        <w:rPr>
          <w:rFonts w:ascii="Times New Roman" w:hAnsi="Times New Roman" w:cs="Times New Roman"/>
        </w:rPr>
        <w:t>to address limited solar access.</w:t>
      </w:r>
    </w:p>
    <w:p w14:paraId="4EF8C12D" w14:textId="5ABDBF0C" w:rsidR="00C43D43" w:rsidRDefault="006E488C" w:rsidP="00F13072">
      <w:pPr>
        <w:pStyle w:val="ListParagraph"/>
        <w:numPr>
          <w:ilvl w:val="1"/>
          <w:numId w:val="8"/>
        </w:numPr>
        <w:rPr>
          <w:rFonts w:ascii="Times New Roman" w:hAnsi="Times New Roman" w:cs="Times New Roman"/>
        </w:rPr>
      </w:pPr>
      <w:r w:rsidRPr="007B0F7E">
        <w:rPr>
          <w:rFonts w:ascii="Times New Roman" w:hAnsi="Times New Roman" w:cs="Times New Roman"/>
        </w:rPr>
        <w:t>Section 140.1</w:t>
      </w:r>
      <w:r w:rsidR="00A85E5A" w:rsidRPr="007B0F7E">
        <w:rPr>
          <w:rFonts w:ascii="Times New Roman" w:hAnsi="Times New Roman" w:cs="Times New Roman"/>
        </w:rPr>
        <w:t xml:space="preserve"> </w:t>
      </w:r>
      <w:r w:rsidR="007B0F7E" w:rsidRPr="007B0F7E">
        <w:rPr>
          <w:rFonts w:ascii="Times New Roman" w:hAnsi="Times New Roman" w:cs="Times New Roman"/>
        </w:rPr>
        <w:t>tightens the energy performance standards</w:t>
      </w:r>
      <w:r w:rsidR="00ED59EE" w:rsidRPr="007B0F7E">
        <w:rPr>
          <w:rFonts w:ascii="Times New Roman" w:hAnsi="Times New Roman" w:cs="Times New Roman"/>
        </w:rPr>
        <w:t xml:space="preserve"> by </w:t>
      </w:r>
      <w:r w:rsidR="00A85E5A" w:rsidRPr="007B0F7E">
        <w:rPr>
          <w:rFonts w:ascii="Times New Roman" w:hAnsi="Times New Roman" w:cs="Times New Roman"/>
        </w:rPr>
        <w:t>reducing the energy budget by 5-10%, depending upon the occupancy type.</w:t>
      </w:r>
      <w:r w:rsidR="00ED59EE" w:rsidRPr="007B0F7E">
        <w:rPr>
          <w:rFonts w:ascii="Times New Roman" w:hAnsi="Times New Roman" w:cs="Times New Roman"/>
        </w:rPr>
        <w:t xml:space="preserve"> This section provides a credit if the energy analysis is performed by a Certified Energy Analyst.</w:t>
      </w:r>
      <w:r w:rsidR="007B0F7E" w:rsidRPr="007B0F7E">
        <w:rPr>
          <w:rFonts w:ascii="Times New Roman" w:hAnsi="Times New Roman" w:cs="Times New Roman"/>
        </w:rPr>
        <w:t xml:space="preserve"> In lieu of the performance requirements </w:t>
      </w:r>
      <w:r w:rsidR="00A85E5A" w:rsidRPr="007B0F7E">
        <w:rPr>
          <w:rFonts w:ascii="Times New Roman" w:hAnsi="Times New Roman" w:cs="Times New Roman"/>
        </w:rPr>
        <w:t xml:space="preserve">Section 140.2 </w:t>
      </w:r>
      <w:r w:rsidR="007B0F7E" w:rsidRPr="007B0F7E">
        <w:rPr>
          <w:rFonts w:ascii="Times New Roman" w:hAnsi="Times New Roman" w:cs="Times New Roman"/>
        </w:rPr>
        <w:t>specifies</w:t>
      </w:r>
      <w:r w:rsidR="00A85E5A" w:rsidRPr="007B0F7E">
        <w:rPr>
          <w:rFonts w:ascii="Times New Roman" w:hAnsi="Times New Roman" w:cs="Times New Roman"/>
        </w:rPr>
        <w:t xml:space="preserve"> additional </w:t>
      </w:r>
      <w:r w:rsidR="003C0655">
        <w:rPr>
          <w:rFonts w:ascii="Times New Roman" w:hAnsi="Times New Roman" w:cs="Times New Roman"/>
        </w:rPr>
        <w:t xml:space="preserve">prescriptive </w:t>
      </w:r>
      <w:r w:rsidR="00A85E5A" w:rsidRPr="007B0F7E">
        <w:rPr>
          <w:rFonts w:ascii="Times New Roman" w:hAnsi="Times New Roman" w:cs="Times New Roman"/>
        </w:rPr>
        <w:t>measures and higher</w:t>
      </w:r>
      <w:r w:rsidR="008600AC" w:rsidRPr="007B0F7E">
        <w:rPr>
          <w:rFonts w:ascii="Times New Roman" w:hAnsi="Times New Roman" w:cs="Times New Roman"/>
        </w:rPr>
        <w:t xml:space="preserve"> </w:t>
      </w:r>
      <w:r w:rsidR="004F7368" w:rsidRPr="007B0F7E">
        <w:rPr>
          <w:rFonts w:ascii="Times New Roman" w:hAnsi="Times New Roman" w:cs="Times New Roman"/>
        </w:rPr>
        <w:t xml:space="preserve">performance requirements </w:t>
      </w:r>
      <w:r w:rsidR="008600AC" w:rsidRPr="007B0F7E">
        <w:rPr>
          <w:rFonts w:ascii="Times New Roman" w:hAnsi="Times New Roman" w:cs="Times New Roman"/>
        </w:rPr>
        <w:t xml:space="preserve">for </w:t>
      </w:r>
      <w:r w:rsidR="004F7368" w:rsidRPr="007B0F7E">
        <w:rPr>
          <w:rFonts w:ascii="Times New Roman" w:hAnsi="Times New Roman" w:cs="Times New Roman"/>
        </w:rPr>
        <w:t>some measures</w:t>
      </w:r>
      <w:r w:rsidR="008600AC" w:rsidRPr="007B0F7E">
        <w:rPr>
          <w:rFonts w:ascii="Times New Roman" w:hAnsi="Times New Roman" w:cs="Times New Roman"/>
        </w:rPr>
        <w:t>.</w:t>
      </w:r>
    </w:p>
    <w:p w14:paraId="219179AF" w14:textId="046309B8" w:rsidR="00F13072" w:rsidRDefault="00F13072" w:rsidP="00F13072"/>
    <w:p w14:paraId="413964A0" w14:textId="26378D79" w:rsidR="00B75A5B" w:rsidRPr="00B75A5B" w:rsidRDefault="00911107" w:rsidP="00A90DC4">
      <w:r w:rsidRPr="00911107">
        <w:rPr>
          <w:rStyle w:val="Instructions"/>
        </w:rPr>
        <w:t>[</w:t>
      </w:r>
      <w:r>
        <w:rPr>
          <w:rStyle w:val="Instructions"/>
        </w:rPr>
        <w:t>O</w:t>
      </w:r>
      <w:r w:rsidRPr="00911107">
        <w:rPr>
          <w:rStyle w:val="Instructions"/>
        </w:rPr>
        <w:t>ption]</w:t>
      </w:r>
      <w:r>
        <w:t xml:space="preserve"> </w:t>
      </w:r>
      <w:r w:rsidR="00F13072">
        <w:t xml:space="preserve">The all-electric readiness requirements apply only to buildings and additions that are </w:t>
      </w:r>
      <w:r w:rsidR="00F13072" w:rsidRPr="00933DDF">
        <w:t xml:space="preserve">plumbed for gas. </w:t>
      </w:r>
      <w:r w:rsidR="00A90DC4">
        <w:t xml:space="preserve">The requirements include circuits and/or conduit </w:t>
      </w:r>
      <w:r w:rsidR="00A90DC4" w:rsidRPr="00933DDF">
        <w:t xml:space="preserve">for water and space heating equipment, cooking equipment and clothes dryers, as well as space requirements for water heaters (accessory dwelling units are exempt from the space requirements). </w:t>
      </w:r>
      <w:r w:rsidR="00A90DC4">
        <w:t xml:space="preserve"> </w:t>
      </w:r>
      <w:r w:rsidR="0039357E">
        <w:t xml:space="preserve">The requirements do not apply to industrial processes and commercial kitchens. </w:t>
      </w:r>
      <w:r w:rsidR="00A90DC4">
        <w:t xml:space="preserve">The specific requirements for low-rise residential buildings are at </w:t>
      </w:r>
      <w:r w:rsidR="00B75A5B" w:rsidRPr="000E1C2A">
        <w:t>Section 150.0</w:t>
      </w:r>
      <w:r w:rsidR="00A90DC4" w:rsidRPr="000E1C2A">
        <w:t xml:space="preserve"> and nonresidential</w:t>
      </w:r>
      <w:r w:rsidR="00A90DC4">
        <w:t xml:space="preserve"> requirements are at </w:t>
      </w:r>
      <w:r w:rsidR="00B75A5B" w:rsidRPr="00933DDF">
        <w:t>Section 140.0(b)2</w:t>
      </w:r>
      <w:r w:rsidR="00A90DC4">
        <w:t>.</w:t>
      </w:r>
    </w:p>
    <w:p w14:paraId="708590E7" w14:textId="5EA86518" w:rsidR="00081B66" w:rsidRPr="0033553A" w:rsidRDefault="00081B66" w:rsidP="005768EC"/>
    <w:p w14:paraId="7E6B68B2" w14:textId="77777777" w:rsidR="004E3E3D" w:rsidRDefault="004E3E3D" w:rsidP="005768EC">
      <w:pPr>
        <w:rPr>
          <w:b/>
        </w:rPr>
      </w:pPr>
    </w:p>
    <w:p w14:paraId="16B37B4C" w14:textId="53F44E4F" w:rsidR="00D51E33" w:rsidRDefault="00E526AE" w:rsidP="003C0655">
      <w:pPr>
        <w:keepNext/>
        <w:rPr>
          <w:b/>
        </w:rPr>
      </w:pPr>
      <w:r>
        <w:rPr>
          <w:b/>
        </w:rPr>
        <w:t>IMPACTS</w:t>
      </w:r>
      <w:r w:rsidRPr="0033553A">
        <w:rPr>
          <w:b/>
        </w:rPr>
        <w:t xml:space="preserve"> </w:t>
      </w:r>
    </w:p>
    <w:p w14:paraId="3F218377" w14:textId="5A1DE4E5" w:rsidR="00CC56AD" w:rsidRPr="0033553A" w:rsidRDefault="00081B66" w:rsidP="00CC56AD">
      <w:r w:rsidRPr="0033553A">
        <w:t xml:space="preserve">The </w:t>
      </w:r>
      <w:r w:rsidR="00E526AE">
        <w:t>proposed requirements are</w:t>
      </w:r>
      <w:r w:rsidRPr="0033553A">
        <w:t xml:space="preserve"> based on a cost-effectiveness stud</w:t>
      </w:r>
      <w:r w:rsidR="00B03206">
        <w:t>ies</w:t>
      </w:r>
      <w:r w:rsidRPr="0033553A">
        <w:t xml:space="preserve"> commissioned by PG&amp;E with ratepayer funds</w:t>
      </w:r>
      <w:r w:rsidR="00B47FC9">
        <w:rPr>
          <w:rStyle w:val="CommentReference"/>
          <w:rFonts w:ascii="Palatino" w:eastAsia="MS Mincho" w:hAnsi="Palatino" w:cs="LucidaBright"/>
          <w:bCs/>
          <w:color w:val="000000"/>
        </w:rPr>
        <w:t>.</w:t>
      </w:r>
      <w:r w:rsidR="00F06783">
        <w:t xml:space="preserve">  The stud</w:t>
      </w:r>
      <w:r w:rsidR="00B03206">
        <w:t>ies</w:t>
      </w:r>
      <w:r w:rsidR="00F06783">
        <w:t xml:space="preserve"> analyzed several prototypical buildings</w:t>
      </w:r>
      <w:r w:rsidR="00973969">
        <w:t>. For each prototype, the stud</w:t>
      </w:r>
      <w:r w:rsidR="00B03206">
        <w:t>ies</w:t>
      </w:r>
      <w:r w:rsidR="00973969">
        <w:t xml:space="preserve"> simulated operating the buildings with</w:t>
      </w:r>
      <w:r w:rsidR="00F06783">
        <w:t xml:space="preserve"> different combinations of energy efficiency, solar and battery measures </w:t>
      </w:r>
      <w:r w:rsidR="00973969">
        <w:t xml:space="preserve">in order </w:t>
      </w:r>
      <w:r w:rsidR="00F06783">
        <w:t>to determine the impacts on energy consumption, greenhouse gas emissions</w:t>
      </w:r>
      <w:r w:rsidR="000E1C2A">
        <w:t xml:space="preserve">, </w:t>
      </w:r>
      <w:r w:rsidR="00F06783">
        <w:t>costs</w:t>
      </w:r>
      <w:r w:rsidR="000E1C2A">
        <w:t xml:space="preserve"> and savings</w:t>
      </w:r>
      <w:r w:rsidR="00F06783">
        <w:t xml:space="preserve">.  </w:t>
      </w:r>
      <w:r w:rsidR="00BF3796" w:rsidRPr="0033553A">
        <w:t>Costs include incremental capital costs, and, in some cases higher energy costs.</w:t>
      </w:r>
      <w:r w:rsidR="00CC56AD" w:rsidRPr="0033553A">
        <w:t xml:space="preserve"> </w:t>
      </w:r>
      <w:r w:rsidR="00FE2261" w:rsidRPr="0033553A">
        <w:t>In general, the first costs of an all-electric building are lower than a mixed</w:t>
      </w:r>
      <w:r w:rsidR="009D76B4">
        <w:t>-</w:t>
      </w:r>
      <w:r w:rsidR="00FE2261" w:rsidRPr="0033553A">
        <w:t>fuel building</w:t>
      </w:r>
      <w:r w:rsidR="009D76B4">
        <w:t xml:space="preserve"> due to the lack of gas plumbing</w:t>
      </w:r>
      <w:r w:rsidR="00A476DD">
        <w:t>.</w:t>
      </w:r>
    </w:p>
    <w:p w14:paraId="1AA1F891" w14:textId="77777777" w:rsidR="0033553A" w:rsidRPr="0033553A" w:rsidRDefault="0033553A" w:rsidP="00BF3796"/>
    <w:p w14:paraId="6B60C0A1" w14:textId="44278265" w:rsidR="00973969" w:rsidRDefault="004067C4" w:rsidP="00BF3796">
      <w:r>
        <w:t xml:space="preserve">Since there are many potential pathways to comply with the requirements of the ordinance, the impacts will vary depending upon what strategies developers use to comply.  </w:t>
      </w:r>
      <w:r w:rsidR="00973969">
        <w:t>Several case</w:t>
      </w:r>
      <w:r w:rsidR="00364F86">
        <w:t>s</w:t>
      </w:r>
      <w:r w:rsidR="00973969">
        <w:t xml:space="preserve"> are presented in the tables that follow.</w:t>
      </w:r>
    </w:p>
    <w:p w14:paraId="3E857056" w14:textId="2220C119" w:rsidR="00973969" w:rsidRPr="00364F86" w:rsidRDefault="009D2159" w:rsidP="00B03206">
      <w:pPr>
        <w:pStyle w:val="ListParagraph"/>
        <w:numPr>
          <w:ilvl w:val="0"/>
          <w:numId w:val="15"/>
        </w:numPr>
        <w:spacing w:before="60"/>
        <w:rPr>
          <w:rFonts w:ascii="Times New Roman" w:hAnsi="Times New Roman" w:cs="Times New Roman"/>
        </w:rPr>
      </w:pPr>
      <w:r w:rsidRPr="00364F86">
        <w:rPr>
          <w:rFonts w:ascii="Times New Roman" w:hAnsi="Times New Roman" w:cs="Times New Roman"/>
        </w:rPr>
        <w:t>Mixed-Fuel 2019 Code Compliant</w:t>
      </w:r>
      <w:r w:rsidR="00364F86">
        <w:rPr>
          <w:rFonts w:ascii="Times New Roman" w:hAnsi="Times New Roman" w:cs="Times New Roman"/>
        </w:rPr>
        <w:t xml:space="preserve"> </w:t>
      </w:r>
      <w:r w:rsidR="00F63F73">
        <w:rPr>
          <w:rFonts w:ascii="Times New Roman" w:hAnsi="Times New Roman" w:cs="Times New Roman"/>
        </w:rPr>
        <w:t>–</w:t>
      </w:r>
      <w:r w:rsidR="00364F86">
        <w:rPr>
          <w:rFonts w:ascii="Times New Roman" w:hAnsi="Times New Roman" w:cs="Times New Roman"/>
        </w:rPr>
        <w:t xml:space="preserve"> </w:t>
      </w:r>
      <w:r w:rsidR="00F63F73">
        <w:rPr>
          <w:rFonts w:ascii="Times New Roman" w:hAnsi="Times New Roman" w:cs="Times New Roman"/>
        </w:rPr>
        <w:t>Base</w:t>
      </w:r>
      <w:r w:rsidR="00097640">
        <w:rPr>
          <w:rFonts w:ascii="Times New Roman" w:hAnsi="Times New Roman" w:cs="Times New Roman"/>
        </w:rPr>
        <w:t xml:space="preserve"> C</w:t>
      </w:r>
      <w:r w:rsidR="00F63F73">
        <w:rPr>
          <w:rFonts w:ascii="Times New Roman" w:hAnsi="Times New Roman" w:cs="Times New Roman"/>
        </w:rPr>
        <w:t xml:space="preserve">ase. </w:t>
      </w:r>
      <w:r w:rsidR="002B7682">
        <w:rPr>
          <w:rFonts w:ascii="Times New Roman" w:hAnsi="Times New Roman" w:cs="Times New Roman"/>
        </w:rPr>
        <w:t xml:space="preserve">Typical </w:t>
      </w:r>
      <w:r w:rsidR="00911107">
        <w:rPr>
          <w:rFonts w:ascii="Times New Roman" w:hAnsi="Times New Roman" w:cs="Times New Roman"/>
        </w:rPr>
        <w:t>construction</w:t>
      </w:r>
      <w:r w:rsidR="00364F86">
        <w:rPr>
          <w:rFonts w:ascii="Times New Roman" w:hAnsi="Times New Roman" w:cs="Times New Roman"/>
        </w:rPr>
        <w:t xml:space="preserve"> in the absence of a</w:t>
      </w:r>
      <w:r w:rsidR="00911107">
        <w:rPr>
          <w:rFonts w:ascii="Times New Roman" w:hAnsi="Times New Roman" w:cs="Times New Roman"/>
        </w:rPr>
        <w:t xml:space="preserve"> </w:t>
      </w:r>
      <w:r w:rsidR="00364F86">
        <w:rPr>
          <w:rFonts w:ascii="Times New Roman" w:hAnsi="Times New Roman" w:cs="Times New Roman"/>
        </w:rPr>
        <w:t>local reach code.</w:t>
      </w:r>
    </w:p>
    <w:p w14:paraId="65B6CE03" w14:textId="6D336101" w:rsidR="009D2159" w:rsidRPr="00364F86" w:rsidRDefault="009D2159" w:rsidP="009D2159">
      <w:pPr>
        <w:pStyle w:val="ListParagraph"/>
        <w:numPr>
          <w:ilvl w:val="0"/>
          <w:numId w:val="15"/>
        </w:numPr>
        <w:rPr>
          <w:rFonts w:ascii="Times New Roman" w:hAnsi="Times New Roman" w:cs="Times New Roman"/>
        </w:rPr>
      </w:pPr>
      <w:r w:rsidRPr="00364F86">
        <w:rPr>
          <w:rFonts w:ascii="Times New Roman" w:hAnsi="Times New Roman" w:cs="Times New Roman"/>
        </w:rPr>
        <w:t>Mixed-Fuel Efficiency, Solar and Battery</w:t>
      </w:r>
      <w:r w:rsidR="00364F86">
        <w:rPr>
          <w:rFonts w:ascii="Times New Roman" w:hAnsi="Times New Roman" w:cs="Times New Roman"/>
        </w:rPr>
        <w:t xml:space="preserve"> – Typical compliance </w:t>
      </w:r>
      <w:r w:rsidR="00911107">
        <w:rPr>
          <w:rFonts w:ascii="Times New Roman" w:hAnsi="Times New Roman" w:cs="Times New Roman"/>
        </w:rPr>
        <w:t>strategy</w:t>
      </w:r>
      <w:r w:rsidR="00364F86">
        <w:rPr>
          <w:rFonts w:ascii="Times New Roman" w:hAnsi="Times New Roman" w:cs="Times New Roman"/>
        </w:rPr>
        <w:t xml:space="preserve"> for a mixed</w:t>
      </w:r>
      <w:r w:rsidR="00F63F73">
        <w:rPr>
          <w:rFonts w:ascii="Times New Roman" w:hAnsi="Times New Roman" w:cs="Times New Roman"/>
        </w:rPr>
        <w:t>-</w:t>
      </w:r>
      <w:r w:rsidR="00364F86">
        <w:rPr>
          <w:rFonts w:ascii="Times New Roman" w:hAnsi="Times New Roman" w:cs="Times New Roman"/>
        </w:rPr>
        <w:t xml:space="preserve">fuel building.  Includes extra efficiency measures, </w:t>
      </w:r>
      <w:r w:rsidR="00B03206">
        <w:rPr>
          <w:rFonts w:ascii="Times New Roman" w:hAnsi="Times New Roman" w:cs="Times New Roman"/>
        </w:rPr>
        <w:t xml:space="preserve">a </w:t>
      </w:r>
      <w:r w:rsidR="00866A9A">
        <w:rPr>
          <w:rFonts w:ascii="Times New Roman" w:hAnsi="Times New Roman" w:cs="Times New Roman"/>
        </w:rPr>
        <w:t>slight</w:t>
      </w:r>
      <w:r w:rsidR="00B03206">
        <w:rPr>
          <w:rFonts w:ascii="Times New Roman" w:hAnsi="Times New Roman" w:cs="Times New Roman"/>
        </w:rPr>
        <w:t>ly</w:t>
      </w:r>
      <w:r w:rsidR="00866A9A">
        <w:rPr>
          <w:rFonts w:ascii="Times New Roman" w:hAnsi="Times New Roman" w:cs="Times New Roman"/>
        </w:rPr>
        <w:t xml:space="preserve"> larger PV system</w:t>
      </w:r>
      <w:r w:rsidR="00364F86">
        <w:rPr>
          <w:rFonts w:ascii="Times New Roman" w:hAnsi="Times New Roman" w:cs="Times New Roman"/>
        </w:rPr>
        <w:t xml:space="preserve"> and </w:t>
      </w:r>
      <w:r w:rsidR="00866A9A">
        <w:rPr>
          <w:rFonts w:ascii="Times New Roman" w:hAnsi="Times New Roman" w:cs="Times New Roman"/>
        </w:rPr>
        <w:t xml:space="preserve">a </w:t>
      </w:r>
      <w:r w:rsidR="00364F86">
        <w:rPr>
          <w:rFonts w:ascii="Times New Roman" w:hAnsi="Times New Roman" w:cs="Times New Roman"/>
        </w:rPr>
        <w:t>battery.</w:t>
      </w:r>
    </w:p>
    <w:p w14:paraId="4C5073A4" w14:textId="0B6ADA80" w:rsidR="009D2159" w:rsidRPr="00364F86" w:rsidRDefault="009D2159" w:rsidP="009D2159">
      <w:pPr>
        <w:pStyle w:val="ListParagraph"/>
        <w:numPr>
          <w:ilvl w:val="0"/>
          <w:numId w:val="15"/>
        </w:numPr>
        <w:rPr>
          <w:rFonts w:ascii="Times New Roman" w:hAnsi="Times New Roman" w:cs="Times New Roman"/>
        </w:rPr>
      </w:pPr>
      <w:r w:rsidRPr="00364F86">
        <w:rPr>
          <w:rFonts w:ascii="Times New Roman" w:hAnsi="Times New Roman" w:cs="Times New Roman"/>
        </w:rPr>
        <w:t>All-Electric State Code Compliant</w:t>
      </w:r>
      <w:r w:rsidR="00364F86">
        <w:rPr>
          <w:rFonts w:ascii="Times New Roman" w:hAnsi="Times New Roman" w:cs="Times New Roman"/>
        </w:rPr>
        <w:t xml:space="preserve"> – All-electric construction that is minimally compliant with the State code.</w:t>
      </w:r>
      <w:r w:rsidR="00911107">
        <w:rPr>
          <w:rFonts w:ascii="Times New Roman" w:hAnsi="Times New Roman" w:cs="Times New Roman"/>
        </w:rPr>
        <w:t xml:space="preserve"> For comparison purposes only; does not meet the reach code requirements.</w:t>
      </w:r>
    </w:p>
    <w:p w14:paraId="173A236D" w14:textId="6CD72F3C" w:rsidR="009D2159" w:rsidRPr="00364F86" w:rsidRDefault="009D2159" w:rsidP="009D2159">
      <w:pPr>
        <w:pStyle w:val="ListParagraph"/>
        <w:numPr>
          <w:ilvl w:val="0"/>
          <w:numId w:val="15"/>
        </w:numPr>
        <w:rPr>
          <w:rFonts w:ascii="Times New Roman" w:hAnsi="Times New Roman" w:cs="Times New Roman"/>
        </w:rPr>
      </w:pPr>
      <w:r w:rsidRPr="00364F86">
        <w:rPr>
          <w:rFonts w:ascii="Times New Roman" w:hAnsi="Times New Roman" w:cs="Times New Roman"/>
        </w:rPr>
        <w:t>A</w:t>
      </w:r>
      <w:r w:rsidR="00364F86">
        <w:rPr>
          <w:rFonts w:ascii="Times New Roman" w:hAnsi="Times New Roman" w:cs="Times New Roman"/>
        </w:rPr>
        <w:t>l</w:t>
      </w:r>
      <w:r w:rsidRPr="00364F86">
        <w:rPr>
          <w:rFonts w:ascii="Times New Roman" w:hAnsi="Times New Roman" w:cs="Times New Roman"/>
        </w:rPr>
        <w:t>l-Electric Efficiency and Solar</w:t>
      </w:r>
      <w:r w:rsidR="00364F86">
        <w:rPr>
          <w:rFonts w:ascii="Times New Roman" w:hAnsi="Times New Roman" w:cs="Times New Roman"/>
        </w:rPr>
        <w:t xml:space="preserve"> – Typical </w:t>
      </w:r>
      <w:r w:rsidR="00911107">
        <w:rPr>
          <w:rFonts w:ascii="Times New Roman" w:hAnsi="Times New Roman" w:cs="Times New Roman"/>
        </w:rPr>
        <w:t>construction</w:t>
      </w:r>
      <w:r w:rsidR="00364F86">
        <w:rPr>
          <w:rFonts w:ascii="Times New Roman" w:hAnsi="Times New Roman" w:cs="Times New Roman"/>
        </w:rPr>
        <w:t xml:space="preserve"> </w:t>
      </w:r>
      <w:r w:rsidR="00911107">
        <w:rPr>
          <w:rFonts w:ascii="Times New Roman" w:hAnsi="Times New Roman" w:cs="Times New Roman"/>
        </w:rPr>
        <w:t>strategy</w:t>
      </w:r>
      <w:r w:rsidR="00364F86">
        <w:rPr>
          <w:rFonts w:ascii="Times New Roman" w:hAnsi="Times New Roman" w:cs="Times New Roman"/>
        </w:rPr>
        <w:t xml:space="preserve"> for an all-electric building.  Includes extra efficiency measures and </w:t>
      </w:r>
      <w:r w:rsidR="00B03206">
        <w:rPr>
          <w:rFonts w:ascii="Times New Roman" w:hAnsi="Times New Roman" w:cs="Times New Roman"/>
        </w:rPr>
        <w:t>a larger PV system</w:t>
      </w:r>
      <w:r w:rsidR="00364F86">
        <w:rPr>
          <w:rFonts w:ascii="Times New Roman" w:hAnsi="Times New Roman" w:cs="Times New Roman"/>
        </w:rPr>
        <w:t>.</w:t>
      </w:r>
    </w:p>
    <w:p w14:paraId="75800EEA" w14:textId="77777777" w:rsidR="00973969" w:rsidRDefault="00973969" w:rsidP="00BF3796"/>
    <w:p w14:paraId="628B6C55" w14:textId="43AD96D4" w:rsidR="00573705" w:rsidRDefault="00CC56AD" w:rsidP="00BF3796">
      <w:r w:rsidRPr="0033553A">
        <w:t>The potential impacts of typical compliance strategies for different building type</w:t>
      </w:r>
      <w:r w:rsidR="00D06421">
        <w:t>s</w:t>
      </w:r>
      <w:r w:rsidRPr="0033553A">
        <w:t xml:space="preserve"> are summarized in the </w:t>
      </w:r>
      <w:r w:rsidR="004E48E4">
        <w:t>figures</w:t>
      </w:r>
      <w:r w:rsidRPr="0033553A">
        <w:t xml:space="preserve"> below.  </w:t>
      </w:r>
    </w:p>
    <w:p w14:paraId="22D763EA" w14:textId="77777777" w:rsidR="00573705" w:rsidRDefault="00573705" w:rsidP="00BF3796"/>
    <w:p w14:paraId="449B8672" w14:textId="75D22025" w:rsidR="00573705" w:rsidRPr="00373167" w:rsidRDefault="00973969" w:rsidP="00BF3796">
      <w:pPr>
        <w:rPr>
          <w:rStyle w:val="Instructions"/>
        </w:rPr>
      </w:pPr>
      <w:r w:rsidRPr="00973969">
        <w:rPr>
          <w:b/>
          <w:bCs/>
          <w:u w:val="single"/>
        </w:rPr>
        <w:t>Environmental Impacts</w:t>
      </w:r>
      <w:r>
        <w:rPr>
          <w:u w:val="single"/>
        </w:rPr>
        <w:t xml:space="preserve"> </w:t>
      </w:r>
      <w:r w:rsidR="00455A34" w:rsidRPr="00373167">
        <w:rPr>
          <w:rStyle w:val="Instructions"/>
        </w:rPr>
        <w:t>[</w:t>
      </w:r>
      <w:r w:rsidR="00373167" w:rsidRPr="00373167">
        <w:rPr>
          <w:rStyle w:val="Instructions"/>
        </w:rPr>
        <w:t xml:space="preserve">sample </w:t>
      </w:r>
      <w:r w:rsidR="00F054BE">
        <w:rPr>
          <w:rStyle w:val="Instructions"/>
        </w:rPr>
        <w:t xml:space="preserve">language and </w:t>
      </w:r>
      <w:r w:rsidR="00373167">
        <w:rPr>
          <w:rStyle w:val="Instructions"/>
        </w:rPr>
        <w:t>figures</w:t>
      </w:r>
      <w:r w:rsidR="00373167" w:rsidRPr="00373167">
        <w:rPr>
          <w:rStyle w:val="Instructions"/>
        </w:rPr>
        <w:t xml:space="preserve"> for Climate Zone 3]</w:t>
      </w:r>
    </w:p>
    <w:p w14:paraId="4092F82B" w14:textId="1927C6E1" w:rsidR="004E48E4" w:rsidRDefault="004E48E4" w:rsidP="004E48E4">
      <w:r>
        <w:t xml:space="preserve">The </w:t>
      </w:r>
      <w:r w:rsidR="00D0133C">
        <w:t>study</w:t>
      </w:r>
      <w:r>
        <w:t xml:space="preserve"> finds that all-electric buildings, even those with no other energy performance enhancements, provide significant GHG reductions.  </w:t>
      </w:r>
      <w:r w:rsidR="00D0133C">
        <w:t>T</w:t>
      </w:r>
      <w:r>
        <w:t>he addition of energy efficiency and more solar can drive net energy use to nearly zero</w:t>
      </w:r>
      <w:r w:rsidR="00274FF7">
        <w:t xml:space="preserve"> f</w:t>
      </w:r>
      <w:r w:rsidR="00B03206">
        <w:t>or</w:t>
      </w:r>
      <w:r w:rsidR="00274FF7">
        <w:t xml:space="preserve"> some building types</w:t>
      </w:r>
      <w:r w:rsidR="00D0133C">
        <w:t xml:space="preserve"> </w:t>
      </w:r>
      <w:r>
        <w:t>and GHG emissions to less than a third of a mixed-fuel 2019 State code compliant building.</w:t>
      </w:r>
    </w:p>
    <w:p w14:paraId="4EEF624F" w14:textId="509B6211" w:rsidR="008013E6" w:rsidRDefault="008013E6" w:rsidP="004E48E4"/>
    <w:p w14:paraId="740DF932" w14:textId="76B4A9C1" w:rsidR="008013E6" w:rsidRDefault="008013E6" w:rsidP="004E48E4">
      <w:r>
        <w:t xml:space="preserve">The charts below compare total GHG emissions and net </w:t>
      </w:r>
      <w:r w:rsidR="0039357E">
        <w:t xml:space="preserve">source </w:t>
      </w:r>
      <w:r>
        <w:t>energy consumption (</w:t>
      </w:r>
      <w:r w:rsidR="00C41C55">
        <w:t>after</w:t>
      </w:r>
      <w:r>
        <w:t xml:space="preserve"> onsite generation) </w:t>
      </w:r>
      <w:r w:rsidR="00F054BE">
        <w:t>of various strategies for typical building types</w:t>
      </w:r>
      <w:r>
        <w:t xml:space="preserve">.  Note, high-rise residential </w:t>
      </w:r>
      <w:r w:rsidR="00482E03">
        <w:t>building</w:t>
      </w:r>
      <w:r w:rsidR="008C5E21">
        <w:t>s</w:t>
      </w:r>
      <w:r w:rsidR="00C41C55">
        <w:t xml:space="preserve"> </w:t>
      </w:r>
      <w:r w:rsidR="008C5E21">
        <w:t xml:space="preserve">have similar compliance requirements </w:t>
      </w:r>
      <w:r w:rsidR="00263970">
        <w:t>as hotels</w:t>
      </w:r>
      <w:r w:rsidR="009A5AD0">
        <w:t xml:space="preserve">, including treating </w:t>
      </w:r>
      <w:r w:rsidR="00753428">
        <w:t xml:space="preserve">guest rooms </w:t>
      </w:r>
      <w:r w:rsidR="009A5AD0">
        <w:t xml:space="preserve">as </w:t>
      </w:r>
      <w:r w:rsidR="00753428">
        <w:t>residential spaces</w:t>
      </w:r>
      <w:r w:rsidR="009A5AD0">
        <w:t>,</w:t>
      </w:r>
      <w:r w:rsidR="00753428">
        <w:t xml:space="preserve"> and </w:t>
      </w:r>
      <w:r>
        <w:t xml:space="preserve">should be </w:t>
      </w:r>
      <w:r w:rsidR="00482E03">
        <w:t>comparable</w:t>
      </w:r>
      <w:r>
        <w:t xml:space="preserve"> to the small hotel building </w:t>
      </w:r>
      <w:r w:rsidR="00973969">
        <w:t>proto</w:t>
      </w:r>
      <w:r>
        <w:t>type.</w:t>
      </w:r>
    </w:p>
    <w:p w14:paraId="5973E1F5" w14:textId="4DB04D78" w:rsidR="00455A34" w:rsidRDefault="00455A34" w:rsidP="004E48E4"/>
    <w:p w14:paraId="6E6EA7D6" w14:textId="4B8EB485" w:rsidR="00AB0401" w:rsidRDefault="00AB0401" w:rsidP="00AB0401">
      <w:pPr>
        <w:pStyle w:val="Caption"/>
        <w:keepNext/>
      </w:pPr>
    </w:p>
    <w:p w14:paraId="1EBF6AFC" w14:textId="1DE853F5" w:rsidR="00B475EE" w:rsidRDefault="00B475EE" w:rsidP="00AB0401">
      <w:pPr>
        <w:pStyle w:val="Caption"/>
      </w:pPr>
    </w:p>
    <w:p w14:paraId="287808DC" w14:textId="5E8B073A" w:rsidR="00274FF7" w:rsidRDefault="0039357E" w:rsidP="00AB0401">
      <w:pPr>
        <w:pStyle w:val="Caption"/>
      </w:pPr>
      <w:r>
        <w:rPr>
          <w:noProof/>
        </w:rPr>
        <w:lastRenderedPageBreak/>
        <w:drawing>
          <wp:inline distT="0" distB="0" distL="0" distR="0" wp14:anchorId="793EE9EC" wp14:editId="6931A134">
            <wp:extent cx="5943600" cy="277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770505"/>
                    </a:xfrm>
                    <a:prstGeom prst="rect">
                      <a:avLst/>
                    </a:prstGeom>
                  </pic:spPr>
                </pic:pic>
              </a:graphicData>
            </a:graphic>
          </wp:inline>
        </w:drawing>
      </w:r>
      <w:r w:rsidR="00AB0401">
        <w:t xml:space="preserve">Figure </w:t>
      </w:r>
      <w:fldSimple w:instr=" SEQ Figure \* ARABIC ">
        <w:r w:rsidR="00460E3D">
          <w:rPr>
            <w:noProof/>
          </w:rPr>
          <w:t>1</w:t>
        </w:r>
      </w:fldSimple>
      <w:r w:rsidR="00AB0401">
        <w:t xml:space="preserve">: </w:t>
      </w:r>
      <w:r w:rsidR="00AB0401" w:rsidRPr="00F637F6">
        <w:t>GHG and Energy Impact</w:t>
      </w:r>
      <w:r w:rsidR="00AB0401">
        <w:t>, Single Family Home</w:t>
      </w:r>
    </w:p>
    <w:p w14:paraId="4399CE82" w14:textId="7E942DC2" w:rsidR="00B47FC9" w:rsidRDefault="00B47FC9" w:rsidP="00274FF7"/>
    <w:p w14:paraId="15AC7832" w14:textId="054DA5B7" w:rsidR="00B47FC9" w:rsidRDefault="00B47FC9" w:rsidP="00274FF7"/>
    <w:p w14:paraId="103BA8EA" w14:textId="6962C633" w:rsidR="00274FF7" w:rsidRDefault="0039357E" w:rsidP="00AB0401">
      <w:pPr>
        <w:pStyle w:val="Caption"/>
      </w:pPr>
      <w:r>
        <w:rPr>
          <w:noProof/>
        </w:rPr>
        <w:drawing>
          <wp:inline distT="0" distB="0" distL="0" distR="0" wp14:anchorId="1FEFBD4C" wp14:editId="1186311A">
            <wp:extent cx="5943600" cy="2770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70505"/>
                    </a:xfrm>
                    <a:prstGeom prst="rect">
                      <a:avLst/>
                    </a:prstGeom>
                  </pic:spPr>
                </pic:pic>
              </a:graphicData>
            </a:graphic>
          </wp:inline>
        </w:drawing>
      </w:r>
      <w:r w:rsidR="00AB0401">
        <w:t xml:space="preserve">Figure </w:t>
      </w:r>
      <w:fldSimple w:instr=" SEQ Figure \* ARABIC ">
        <w:r w:rsidR="00460E3D">
          <w:rPr>
            <w:noProof/>
          </w:rPr>
          <w:t>2</w:t>
        </w:r>
      </w:fldSimple>
      <w:r w:rsidR="00AB0401">
        <w:t>: GHG and Energy Impacts, Low-Rise Multifamily Unit</w:t>
      </w:r>
    </w:p>
    <w:p w14:paraId="39CEAD45" w14:textId="6E5994B2" w:rsidR="00B47FC9" w:rsidRDefault="00B47FC9" w:rsidP="00274FF7"/>
    <w:p w14:paraId="222A80E8" w14:textId="2120D845" w:rsidR="00AB0401" w:rsidRDefault="00AB0401" w:rsidP="00AB0401">
      <w:pPr>
        <w:keepNext/>
      </w:pPr>
    </w:p>
    <w:p w14:paraId="6CEC3B48" w14:textId="5B1B66AC" w:rsidR="00B47FC9" w:rsidRDefault="0039357E" w:rsidP="00AB0401">
      <w:pPr>
        <w:pStyle w:val="Caption"/>
      </w:pPr>
      <w:r>
        <w:rPr>
          <w:noProof/>
        </w:rPr>
        <w:drawing>
          <wp:inline distT="0" distB="0" distL="0" distR="0" wp14:anchorId="733CD5DE" wp14:editId="593FC8CE">
            <wp:extent cx="5943600" cy="35521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52190"/>
                    </a:xfrm>
                    <a:prstGeom prst="rect">
                      <a:avLst/>
                    </a:prstGeom>
                  </pic:spPr>
                </pic:pic>
              </a:graphicData>
            </a:graphic>
          </wp:inline>
        </w:drawing>
      </w:r>
      <w:r w:rsidR="00AB0401">
        <w:t xml:space="preserve">Figure </w:t>
      </w:r>
      <w:fldSimple w:instr=" SEQ Figure \* ARABIC ">
        <w:r w:rsidR="00460E3D">
          <w:rPr>
            <w:noProof/>
          </w:rPr>
          <w:t>3</w:t>
        </w:r>
      </w:fldSimple>
      <w:r w:rsidR="00AB0401">
        <w:t xml:space="preserve">: </w:t>
      </w:r>
      <w:r w:rsidR="00AB0401" w:rsidRPr="00BB2433">
        <w:t>GHG and Energy Impact</w:t>
      </w:r>
      <w:r w:rsidR="00AB0401">
        <w:t>, Medium Office Building</w:t>
      </w:r>
    </w:p>
    <w:p w14:paraId="2271C865" w14:textId="021340C4" w:rsidR="00097640" w:rsidRPr="00097640" w:rsidRDefault="00097640" w:rsidP="00097640"/>
    <w:p w14:paraId="22C551E3" w14:textId="234A11E5" w:rsidR="00B47FC9" w:rsidRDefault="0039357E" w:rsidP="00AB0401">
      <w:pPr>
        <w:pStyle w:val="Caption"/>
      </w:pPr>
      <w:r>
        <w:rPr>
          <w:noProof/>
        </w:rPr>
        <w:drawing>
          <wp:inline distT="0" distB="0" distL="0" distR="0" wp14:anchorId="2A3EF4D5" wp14:editId="3085D065">
            <wp:extent cx="5943600" cy="35521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52190"/>
                    </a:xfrm>
                    <a:prstGeom prst="rect">
                      <a:avLst/>
                    </a:prstGeom>
                  </pic:spPr>
                </pic:pic>
              </a:graphicData>
            </a:graphic>
          </wp:inline>
        </w:drawing>
      </w:r>
      <w:r w:rsidR="00AB0401">
        <w:t xml:space="preserve">Figure </w:t>
      </w:r>
      <w:fldSimple w:instr=" SEQ Figure \* ARABIC ">
        <w:r w:rsidR="00460E3D">
          <w:rPr>
            <w:noProof/>
          </w:rPr>
          <w:t>4</w:t>
        </w:r>
      </w:fldSimple>
      <w:r w:rsidR="00AB0401">
        <w:t xml:space="preserve">: </w:t>
      </w:r>
      <w:r w:rsidR="00AB0401" w:rsidRPr="00B960C5">
        <w:t>GHG and Energy Impact</w:t>
      </w:r>
      <w:r w:rsidR="00AB0401">
        <w:t xml:space="preserve"> Small Hotel</w:t>
      </w:r>
    </w:p>
    <w:p w14:paraId="56BBD8CD" w14:textId="77777777" w:rsidR="00B47FC9" w:rsidRPr="00274FF7" w:rsidRDefault="00B47FC9" w:rsidP="00274FF7"/>
    <w:p w14:paraId="2E659279" w14:textId="185900EA" w:rsidR="00274FF7" w:rsidRPr="00274FF7" w:rsidRDefault="00274FF7" w:rsidP="004E48E4">
      <w:pPr>
        <w:rPr>
          <w:u w:val="single"/>
        </w:rPr>
      </w:pPr>
      <w:r w:rsidRPr="00274FF7">
        <w:rPr>
          <w:u w:val="single"/>
        </w:rPr>
        <w:lastRenderedPageBreak/>
        <w:t>Economic Impacts</w:t>
      </w:r>
      <w:r w:rsidR="00B47FC9">
        <w:rPr>
          <w:u w:val="single"/>
        </w:rPr>
        <w:t xml:space="preserve"> </w:t>
      </w:r>
      <w:r w:rsidR="00F054BE" w:rsidRPr="00373167">
        <w:rPr>
          <w:rStyle w:val="Instructions"/>
        </w:rPr>
        <w:t xml:space="preserve">[sample </w:t>
      </w:r>
      <w:r w:rsidR="00F054BE">
        <w:rPr>
          <w:rStyle w:val="Instructions"/>
        </w:rPr>
        <w:t>language and figures</w:t>
      </w:r>
      <w:r w:rsidR="00F054BE" w:rsidRPr="00373167">
        <w:rPr>
          <w:rStyle w:val="Instructions"/>
        </w:rPr>
        <w:t xml:space="preserve"> for Climate Zone 3]</w:t>
      </w:r>
    </w:p>
    <w:p w14:paraId="68DC3C84" w14:textId="4F836315" w:rsidR="004E48E4" w:rsidRDefault="00D0133C" w:rsidP="004E48E4">
      <w:r>
        <w:t xml:space="preserve">All-electric buildings are </w:t>
      </w:r>
      <w:r w:rsidR="00B03206">
        <w:t xml:space="preserve">often </w:t>
      </w:r>
      <w:r>
        <w:t xml:space="preserve">cheaper to build due to the elimination of </w:t>
      </w:r>
      <w:r w:rsidR="003C0655">
        <w:t xml:space="preserve">running </w:t>
      </w:r>
      <w:r>
        <w:t>expensive gas plumbing</w:t>
      </w:r>
      <w:r w:rsidR="003C0655">
        <w:t xml:space="preserve"> to the building</w:t>
      </w:r>
      <w:r>
        <w:t xml:space="preserve">.  These lower first costs </w:t>
      </w:r>
      <w:r w:rsidR="00F15715">
        <w:t xml:space="preserve">generally </w:t>
      </w:r>
      <w:r>
        <w:t xml:space="preserve">make all-electric construction more cost-effective on a life-cycle basis.  </w:t>
      </w:r>
      <w:r w:rsidR="00B47FC9">
        <w:t>This is particularly true for low-rise residential buildings</w:t>
      </w:r>
      <w:r w:rsidR="00F15715">
        <w:t>,</w:t>
      </w:r>
      <w:r w:rsidR="00B47FC9">
        <w:t xml:space="preserve"> where</w:t>
      </w:r>
      <w:r w:rsidR="00F15715">
        <w:t xml:space="preserve"> it</w:t>
      </w:r>
      <w:r>
        <w:t xml:space="preserve"> is </w:t>
      </w:r>
      <w:r w:rsidR="00B47FC9">
        <w:t xml:space="preserve">also </w:t>
      </w:r>
      <w:r w:rsidR="00A90DC4">
        <w:t xml:space="preserve">often </w:t>
      </w:r>
      <w:r>
        <w:t xml:space="preserve">increasingly more cost-effective for the owner to </w:t>
      </w:r>
      <w:r w:rsidR="004E48E4">
        <w:t>exceed the code</w:t>
      </w:r>
      <w:r w:rsidR="00F15715">
        <w:t xml:space="preserve"> by improving efficiency and adding solar</w:t>
      </w:r>
      <w:r w:rsidR="004E48E4">
        <w:t xml:space="preserve">.  In fact, if one invests the savings from the gas infrastructure in additional PV capacity to offset more of the electricity load, </w:t>
      </w:r>
      <w:r w:rsidR="00274FF7">
        <w:t>in many cases the building</w:t>
      </w:r>
      <w:r w:rsidR="004E48E4">
        <w:t xml:space="preserve"> is cost-effective for the owner and society from day one</w:t>
      </w:r>
      <w:r w:rsidR="00973969">
        <w:t>, meaning the building is both less expensive to build and cheaper to operate.</w:t>
      </w:r>
    </w:p>
    <w:p w14:paraId="43FA8606" w14:textId="7CF46074" w:rsidR="008013E6" w:rsidRDefault="008013E6" w:rsidP="004E48E4"/>
    <w:p w14:paraId="19A600E0" w14:textId="77777777" w:rsidR="00C5666E" w:rsidRPr="00C5666E" w:rsidRDefault="008013E6" w:rsidP="008013E6">
      <w:r w:rsidRPr="00F63F73">
        <w:t xml:space="preserve">The charts below </w:t>
      </w:r>
      <w:r w:rsidR="00911107">
        <w:t xml:space="preserve">depict </w:t>
      </w:r>
      <w:r w:rsidR="005E0D99">
        <w:t xml:space="preserve">the incremental </w:t>
      </w:r>
      <w:r w:rsidR="00911107">
        <w:t xml:space="preserve">net present value costs and savings </w:t>
      </w:r>
      <w:r w:rsidR="005E0D99">
        <w:t xml:space="preserve">of </w:t>
      </w:r>
      <w:r w:rsidR="00911107">
        <w:t xml:space="preserve">various </w:t>
      </w:r>
      <w:r w:rsidR="005E0D99">
        <w:t xml:space="preserve">designs relative to a State-code-complaint mixed-fuel design.  </w:t>
      </w:r>
      <w:r w:rsidR="00F63F73" w:rsidRPr="00F63F73">
        <w:t xml:space="preserve">Note, each building type is examined from two perspectives: one from the owners/operator’s point of view; the other from society’s point of view.  The </w:t>
      </w:r>
      <w:r w:rsidR="00F63F73" w:rsidRPr="00C5666E">
        <w:t xml:space="preserve">latter reflects benefits that accrue to other ratepayers and society. </w:t>
      </w:r>
    </w:p>
    <w:p w14:paraId="09EBB690" w14:textId="77777777" w:rsidR="00C5666E" w:rsidRPr="00C5666E" w:rsidRDefault="00C5666E" w:rsidP="008013E6"/>
    <w:p w14:paraId="1DEAC1AB" w14:textId="1D01DA3F" w:rsidR="008013E6" w:rsidRDefault="004B3487" w:rsidP="008013E6">
      <w:r w:rsidRPr="00C5666E">
        <w:t>Cost v</w:t>
      </w:r>
      <w:r w:rsidR="00DB2766" w:rsidRPr="00C5666E">
        <w:t xml:space="preserve">alues less than zero indicate </w:t>
      </w:r>
      <w:r w:rsidR="00482E03" w:rsidRPr="00C5666E">
        <w:t>lower</w:t>
      </w:r>
      <w:r w:rsidR="00C5666E">
        <w:t xml:space="preserve"> capital </w:t>
      </w:r>
      <w:r w:rsidR="00482E03" w:rsidRPr="00C5666E">
        <w:t>cost</w:t>
      </w:r>
      <w:r w:rsidRPr="00C5666E">
        <w:t>; savings values less than zero indicate higher energy costs.</w:t>
      </w:r>
      <w:r w:rsidR="00DB2766" w:rsidRPr="00C5666E">
        <w:t xml:space="preserve">  Again, </w:t>
      </w:r>
      <w:r w:rsidR="00973969" w:rsidRPr="00C5666E">
        <w:t>a</w:t>
      </w:r>
      <w:r w:rsidR="00C41C55" w:rsidRPr="00C5666E">
        <w:t xml:space="preserve"> </w:t>
      </w:r>
      <w:r w:rsidR="008013E6" w:rsidRPr="00C5666E">
        <w:t xml:space="preserve">high-rise residential </w:t>
      </w:r>
      <w:r w:rsidR="00DB2766" w:rsidRPr="00C5666E">
        <w:t>building</w:t>
      </w:r>
      <w:r w:rsidR="00C41C55" w:rsidRPr="00C5666E">
        <w:t xml:space="preserve"> </w:t>
      </w:r>
      <w:r w:rsidR="008013E6" w:rsidRPr="00C5666E">
        <w:t xml:space="preserve">should be </w:t>
      </w:r>
      <w:r w:rsidR="00482E03" w:rsidRPr="00C5666E">
        <w:t>comparable</w:t>
      </w:r>
      <w:r w:rsidR="008013E6" w:rsidRPr="00C5666E">
        <w:t xml:space="preserve"> to the small hotel building </w:t>
      </w:r>
      <w:r w:rsidR="00973969" w:rsidRPr="00C5666E">
        <w:t>proto</w:t>
      </w:r>
      <w:r w:rsidR="008013E6" w:rsidRPr="00C5666E">
        <w:t>type.</w:t>
      </w:r>
    </w:p>
    <w:p w14:paraId="46253EE5" w14:textId="77777777" w:rsidR="008013E6" w:rsidRDefault="008013E6" w:rsidP="004E48E4"/>
    <w:p w14:paraId="7962D6CB" w14:textId="578F04C0" w:rsidR="00F054BE" w:rsidRDefault="00D94A21" w:rsidP="00F054BE">
      <w:pPr>
        <w:pStyle w:val="Caption"/>
        <w:rPr>
          <w:highlight w:val="yellow"/>
        </w:rPr>
      </w:pPr>
      <w:r>
        <w:rPr>
          <w:noProof/>
        </w:rPr>
        <w:drawing>
          <wp:inline distT="0" distB="0" distL="0" distR="0" wp14:anchorId="0E8F128B" wp14:editId="211C4871">
            <wp:extent cx="5943600" cy="332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28670"/>
                    </a:xfrm>
                    <a:prstGeom prst="rect">
                      <a:avLst/>
                    </a:prstGeom>
                  </pic:spPr>
                </pic:pic>
              </a:graphicData>
            </a:graphic>
          </wp:inline>
        </w:drawing>
      </w:r>
      <w:r w:rsidR="00F054BE">
        <w:t xml:space="preserve">Figure </w:t>
      </w:r>
      <w:fldSimple w:instr=" SEQ Figure \* ARABIC ">
        <w:r w:rsidR="00460E3D">
          <w:rPr>
            <w:noProof/>
          </w:rPr>
          <w:t>5</w:t>
        </w:r>
      </w:fldSimple>
      <w:r w:rsidR="00F054BE">
        <w:t xml:space="preserve">: </w:t>
      </w:r>
      <w:r w:rsidR="00DF0F5E">
        <w:t xml:space="preserve">Costs and Benefits - </w:t>
      </w:r>
      <w:r w:rsidR="00F054BE">
        <w:t>Single</w:t>
      </w:r>
      <w:r w:rsidR="00DF0F5E">
        <w:t>-</w:t>
      </w:r>
      <w:r w:rsidR="00F054BE">
        <w:t>Family Home</w:t>
      </w:r>
    </w:p>
    <w:p w14:paraId="05EF2460" w14:textId="0708C293" w:rsidR="00274FF7" w:rsidRPr="0033553A" w:rsidRDefault="00274FF7" w:rsidP="00274FF7"/>
    <w:p w14:paraId="33D96DE3" w14:textId="5C13823B" w:rsidR="00F054BE" w:rsidRDefault="00D94A21" w:rsidP="00F054BE">
      <w:pPr>
        <w:pStyle w:val="Caption"/>
      </w:pPr>
      <w:r>
        <w:rPr>
          <w:noProof/>
        </w:rPr>
        <w:lastRenderedPageBreak/>
        <w:drawing>
          <wp:inline distT="0" distB="0" distL="0" distR="0" wp14:anchorId="21F284FC" wp14:editId="29A8F98D">
            <wp:extent cx="5943600" cy="3328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28670"/>
                    </a:xfrm>
                    <a:prstGeom prst="rect">
                      <a:avLst/>
                    </a:prstGeom>
                  </pic:spPr>
                </pic:pic>
              </a:graphicData>
            </a:graphic>
          </wp:inline>
        </w:drawing>
      </w:r>
      <w:r w:rsidR="00F054BE">
        <w:t xml:space="preserve">Figure </w:t>
      </w:r>
      <w:fldSimple w:instr=" SEQ Figure \* ARABIC ">
        <w:r w:rsidR="00460E3D">
          <w:rPr>
            <w:noProof/>
          </w:rPr>
          <w:t>6</w:t>
        </w:r>
      </w:fldSimple>
      <w:r w:rsidR="00DF0F5E">
        <w:t xml:space="preserve"> Costs and Benefits - </w:t>
      </w:r>
      <w:r w:rsidR="00F054BE">
        <w:t xml:space="preserve"> Low-Rise Multifamily Unit</w:t>
      </w:r>
    </w:p>
    <w:p w14:paraId="38FF3DCB" w14:textId="77777777" w:rsidR="00C5666E" w:rsidRPr="00C5666E" w:rsidRDefault="00C5666E" w:rsidP="00C5666E"/>
    <w:p w14:paraId="0F1A2A11" w14:textId="0F87B41E" w:rsidR="00F054BE" w:rsidRDefault="00D94A21" w:rsidP="00F054BE">
      <w:pPr>
        <w:pStyle w:val="Caption"/>
        <w:rPr>
          <w:highlight w:val="yellow"/>
        </w:rPr>
      </w:pPr>
      <w:r>
        <w:rPr>
          <w:noProof/>
        </w:rPr>
        <w:drawing>
          <wp:inline distT="0" distB="0" distL="0" distR="0" wp14:anchorId="67894120" wp14:editId="75856432">
            <wp:extent cx="5943600" cy="328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289935"/>
                    </a:xfrm>
                    <a:prstGeom prst="rect">
                      <a:avLst/>
                    </a:prstGeom>
                  </pic:spPr>
                </pic:pic>
              </a:graphicData>
            </a:graphic>
          </wp:inline>
        </w:drawing>
      </w:r>
      <w:r w:rsidR="00F054BE">
        <w:t xml:space="preserve">Figure </w:t>
      </w:r>
      <w:fldSimple w:instr=" SEQ Figure \* ARABIC ">
        <w:r w:rsidR="00460E3D">
          <w:rPr>
            <w:noProof/>
          </w:rPr>
          <w:t>7</w:t>
        </w:r>
      </w:fldSimple>
      <w:r w:rsidR="00F054BE">
        <w:t xml:space="preserve">: </w:t>
      </w:r>
      <w:r w:rsidR="00DF0F5E">
        <w:t xml:space="preserve">Costs and Benefits - </w:t>
      </w:r>
      <w:r w:rsidR="00F054BE">
        <w:t xml:space="preserve"> Medium Office</w:t>
      </w:r>
    </w:p>
    <w:p w14:paraId="355D37ED" w14:textId="6EC91815" w:rsidR="00F054BE" w:rsidRDefault="00D94A21" w:rsidP="00DF0F5E">
      <w:pPr>
        <w:pStyle w:val="Caption"/>
      </w:pPr>
      <w:r>
        <w:rPr>
          <w:noProof/>
        </w:rPr>
        <w:lastRenderedPageBreak/>
        <w:drawing>
          <wp:inline distT="0" distB="0" distL="0" distR="0" wp14:anchorId="223EC9B3" wp14:editId="760188A9">
            <wp:extent cx="5943600" cy="3289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289935"/>
                    </a:xfrm>
                    <a:prstGeom prst="rect">
                      <a:avLst/>
                    </a:prstGeom>
                  </pic:spPr>
                </pic:pic>
              </a:graphicData>
            </a:graphic>
          </wp:inline>
        </w:drawing>
      </w:r>
      <w:r w:rsidR="00DF0F5E">
        <w:t xml:space="preserve">Figure </w:t>
      </w:r>
      <w:fldSimple w:instr=" SEQ Figure \* ARABIC ">
        <w:r w:rsidR="00460E3D">
          <w:rPr>
            <w:noProof/>
          </w:rPr>
          <w:t>8</w:t>
        </w:r>
      </w:fldSimple>
      <w:r w:rsidR="00DF0F5E">
        <w:t xml:space="preserve">: </w:t>
      </w:r>
      <w:r w:rsidR="00DF0F5E" w:rsidRPr="002D0E3D">
        <w:t>Costs and Benefits -  Small Hotel</w:t>
      </w:r>
    </w:p>
    <w:p w14:paraId="48937BE0" w14:textId="51897F0D" w:rsidR="00CE5D7A" w:rsidRPr="0033553A" w:rsidRDefault="00CE5D7A" w:rsidP="00A12FB7">
      <w:pPr>
        <w:pStyle w:val="Heading1"/>
        <w:rPr>
          <w:rFonts w:ascii="Times New Roman" w:hAnsi="Times New Roman"/>
        </w:rPr>
      </w:pPr>
      <w:r w:rsidRPr="0033553A">
        <w:rPr>
          <w:rFonts w:ascii="Times New Roman" w:hAnsi="Times New Roman"/>
        </w:rPr>
        <w:t>FISCAL IMPACT</w:t>
      </w:r>
      <w:r w:rsidR="00B259B7" w:rsidRPr="0033553A">
        <w:rPr>
          <w:rFonts w:ascii="Times New Roman" w:hAnsi="Times New Roman"/>
        </w:rPr>
        <w:t xml:space="preserve"> </w:t>
      </w:r>
    </w:p>
    <w:p w14:paraId="69D84827" w14:textId="3B0F3D86" w:rsidR="00CE5D7A" w:rsidRPr="0033553A" w:rsidRDefault="00A12FB7" w:rsidP="005768EC">
      <w:r w:rsidRPr="0033553A">
        <w:t xml:space="preserve">The </w:t>
      </w:r>
      <w:r w:rsidR="00B23AFE" w:rsidRPr="0033553A">
        <w:t xml:space="preserve">energy performance </w:t>
      </w:r>
      <w:r w:rsidRPr="0033553A">
        <w:t xml:space="preserve">amendments parallel the structure and terms of the State code and as such any incremental plan check and inspection time should be minimal. </w:t>
      </w:r>
      <w:r w:rsidR="00B23AFE" w:rsidRPr="0033553A">
        <w:t>The electric readiness provisions will require plan checkers and inspectors to apply additional check lists to mixed-fuel buildings.  These items are relatively simple an</w:t>
      </w:r>
      <w:r w:rsidR="00D51E33">
        <w:t>d</w:t>
      </w:r>
      <w:r w:rsidR="00B23AFE" w:rsidRPr="0033553A">
        <w:t xml:space="preserve"> are not expected to require </w:t>
      </w:r>
      <w:r w:rsidR="00B7296D">
        <w:t xml:space="preserve">significant </w:t>
      </w:r>
      <w:r w:rsidR="00B23AFE" w:rsidRPr="0033553A">
        <w:t xml:space="preserve">additional staff time.  Any </w:t>
      </w:r>
      <w:r w:rsidRPr="0033553A">
        <w:t xml:space="preserve">incremental costs of administering these requirements will be covered through existing permit fees.  </w:t>
      </w:r>
    </w:p>
    <w:p w14:paraId="7AF7B7B4" w14:textId="0F91DD02" w:rsidR="005768EC" w:rsidRPr="0033553A" w:rsidRDefault="005768EC" w:rsidP="00A12FB7">
      <w:pPr>
        <w:pStyle w:val="Heading1"/>
        <w:rPr>
          <w:rFonts w:ascii="Times New Roman" w:hAnsi="Times New Roman"/>
        </w:rPr>
      </w:pPr>
      <w:r w:rsidRPr="0033553A">
        <w:rPr>
          <w:rFonts w:ascii="Times New Roman" w:hAnsi="Times New Roman"/>
        </w:rPr>
        <w:t>CALIFORNIA ENVIRONMENTAL QUALITY ACT (CEQA)</w:t>
      </w:r>
    </w:p>
    <w:p w14:paraId="71E7D689" w14:textId="2689C438" w:rsidR="004235F3" w:rsidRPr="0033553A" w:rsidRDefault="005768EC" w:rsidP="00F871D9">
      <w:pPr>
        <w:rPr>
          <w:highlight w:val="yellow"/>
        </w:rPr>
      </w:pPr>
      <w:r w:rsidRPr="0033553A">
        <w:t xml:space="preserve">Adoption of the ordinance requires CEQA compliance.  The ordinance includes findings that the requirements would </w:t>
      </w:r>
      <w:r w:rsidR="00F14D41">
        <w:t xml:space="preserve">not </w:t>
      </w:r>
      <w:r w:rsidRPr="0033553A">
        <w:t xml:space="preserve">have </w:t>
      </w:r>
      <w:bookmarkStart w:id="0" w:name="_GoBack"/>
      <w:bookmarkEnd w:id="0"/>
      <w:r w:rsidR="004235F3" w:rsidRPr="0033553A">
        <w:t xml:space="preserve">the </w:t>
      </w:r>
      <w:r w:rsidR="004235F3" w:rsidRPr="0033553A">
        <w:rPr>
          <w:lang w:eastAsia="zh-TW"/>
        </w:rPr>
        <w:t xml:space="preserve">potential for causing significant </w:t>
      </w:r>
      <w:r w:rsidRPr="0033553A">
        <w:t xml:space="preserve">adverse environmental impact </w:t>
      </w:r>
      <w:r w:rsidR="00973969">
        <w:t xml:space="preserve">and </w:t>
      </w:r>
      <w:r w:rsidRPr="0033553A">
        <w:t>is therefore exempt from CEQA</w:t>
      </w:r>
      <w:r w:rsidR="00B259B7" w:rsidRPr="0033553A">
        <w:t xml:space="preserve"> under Section 15</w:t>
      </w:r>
      <w:r w:rsidR="00C072E7" w:rsidRPr="0033553A">
        <w:t>061</w:t>
      </w:r>
      <w:r w:rsidR="00B259B7" w:rsidRPr="0033553A">
        <w:t>(b)(3)</w:t>
      </w:r>
      <w:r w:rsidR="004235F3" w:rsidRPr="0033553A">
        <w:t>.</w:t>
      </w:r>
    </w:p>
    <w:p w14:paraId="5FC2B6C2" w14:textId="77777777" w:rsidR="005768EC" w:rsidRPr="0033553A" w:rsidRDefault="005768EC" w:rsidP="005768EC"/>
    <w:p w14:paraId="318FB469" w14:textId="77777777" w:rsidR="00646399" w:rsidRPr="0033553A" w:rsidRDefault="00646399" w:rsidP="00646399">
      <w:pPr>
        <w:pStyle w:val="AttachmentsHeading"/>
        <w:rPr>
          <w:rFonts w:ascii="Times New Roman" w:hAnsi="Times New Roman" w:cs="Times New Roman"/>
        </w:rPr>
      </w:pPr>
      <w:r w:rsidRPr="0033553A">
        <w:rPr>
          <w:rFonts w:ascii="Times New Roman" w:eastAsia="Verdana" w:hAnsi="Times New Roman" w:cs="Times New Roman"/>
        </w:rPr>
        <w:t>Attachments:</w:t>
      </w:r>
    </w:p>
    <w:p w14:paraId="7108F4E3" w14:textId="45D3705E" w:rsidR="00646399" w:rsidRPr="0033553A" w:rsidRDefault="00646399" w:rsidP="00646399">
      <w:pPr>
        <w:pStyle w:val="AttachmentsLine"/>
        <w:rPr>
          <w:rFonts w:ascii="Times New Roman" w:eastAsia="Verdana" w:hAnsi="Times New Roman" w:cs="Times New Roman"/>
          <w:b/>
          <w:sz w:val="24"/>
          <w:szCs w:val="24"/>
        </w:rPr>
      </w:pPr>
      <w:r w:rsidRPr="0033553A">
        <w:rPr>
          <w:rFonts w:ascii="Times New Roman" w:eastAsia="Verdana" w:hAnsi="Times New Roman" w:cs="Times New Roman"/>
          <w:sz w:val="24"/>
          <w:szCs w:val="24"/>
        </w:rPr>
        <w:t>Cost Effectiveness Study</w:t>
      </w:r>
    </w:p>
    <w:p w14:paraId="22E94BD8" w14:textId="7081134B" w:rsidR="00103400" w:rsidRPr="00F63F73" w:rsidRDefault="00B85CA2" w:rsidP="005768EC">
      <w:pPr>
        <w:pStyle w:val="AttachmentsLine"/>
        <w:rPr>
          <w:rFonts w:ascii="Times New Roman" w:eastAsia="Verdana" w:hAnsi="Times New Roman" w:cs="Times New Roman"/>
          <w:b/>
          <w:sz w:val="24"/>
          <w:szCs w:val="24"/>
        </w:rPr>
      </w:pPr>
      <w:r w:rsidRPr="0033553A">
        <w:rPr>
          <w:rFonts w:ascii="Times New Roman" w:eastAsia="Verdana" w:hAnsi="Times New Roman" w:cs="Times New Roman"/>
          <w:sz w:val="24"/>
          <w:szCs w:val="24"/>
        </w:rPr>
        <w:t xml:space="preserve">Proposed </w:t>
      </w:r>
      <w:r w:rsidR="00646399" w:rsidRPr="0033553A">
        <w:rPr>
          <w:rFonts w:ascii="Times New Roman" w:eastAsia="Verdana" w:hAnsi="Times New Roman" w:cs="Times New Roman"/>
          <w:sz w:val="24"/>
          <w:szCs w:val="24"/>
        </w:rPr>
        <w:t>Ordinance</w:t>
      </w:r>
    </w:p>
    <w:sectPr w:rsidR="00103400" w:rsidRPr="00F63F73" w:rsidSect="00191C95">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5C86" w14:textId="77777777" w:rsidR="003A1CFD" w:rsidRDefault="003A1CFD" w:rsidP="005768EC">
      <w:r>
        <w:separator/>
      </w:r>
    </w:p>
  </w:endnote>
  <w:endnote w:type="continuationSeparator" w:id="0">
    <w:p w14:paraId="40F4C3E4" w14:textId="77777777" w:rsidR="003A1CFD" w:rsidRDefault="003A1CFD" w:rsidP="0057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LucidaBright">
    <w:altName w:val="Lucida Brigh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742341"/>
      <w:docPartObj>
        <w:docPartGallery w:val="Page Numbers (Bottom of Page)"/>
        <w:docPartUnique/>
      </w:docPartObj>
    </w:sdtPr>
    <w:sdtEndPr>
      <w:rPr>
        <w:rFonts w:asciiTheme="minorHAnsi" w:hAnsiTheme="minorHAnsi"/>
        <w:noProof/>
        <w:sz w:val="22"/>
        <w:szCs w:val="22"/>
      </w:rPr>
    </w:sdtEndPr>
    <w:sdtContent>
      <w:p w14:paraId="73806B3D" w14:textId="6B7B1CAE" w:rsidR="00191C95" w:rsidRPr="00191C95" w:rsidRDefault="00191C95">
        <w:pPr>
          <w:pStyle w:val="Footer"/>
          <w:jc w:val="right"/>
          <w:rPr>
            <w:rFonts w:asciiTheme="minorHAnsi" w:hAnsiTheme="minorHAnsi"/>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10446"/>
      <w:docPartObj>
        <w:docPartGallery w:val="Page Numbers (Bottom of Page)"/>
        <w:docPartUnique/>
      </w:docPartObj>
    </w:sdtPr>
    <w:sdtEndPr>
      <w:rPr>
        <w:rFonts w:asciiTheme="minorHAnsi" w:hAnsiTheme="minorHAnsi"/>
        <w:noProof/>
        <w:sz w:val="22"/>
        <w:szCs w:val="22"/>
      </w:rPr>
    </w:sdtEndPr>
    <w:sdtContent>
      <w:p w14:paraId="41296100" w14:textId="77777777" w:rsidR="00191C95" w:rsidRPr="00191C95" w:rsidRDefault="00191C95">
        <w:pPr>
          <w:pStyle w:val="Footer"/>
          <w:jc w:val="right"/>
          <w:rPr>
            <w:rFonts w:asciiTheme="minorHAnsi" w:hAnsiTheme="minorHAnsi"/>
            <w:sz w:val="22"/>
            <w:szCs w:val="22"/>
          </w:rPr>
        </w:pPr>
        <w:r w:rsidRPr="00191C95">
          <w:rPr>
            <w:rFonts w:asciiTheme="minorHAnsi" w:hAnsiTheme="minorHAnsi"/>
            <w:sz w:val="22"/>
            <w:szCs w:val="22"/>
          </w:rPr>
          <w:fldChar w:fldCharType="begin"/>
        </w:r>
        <w:r w:rsidRPr="00191C95">
          <w:rPr>
            <w:rFonts w:asciiTheme="minorHAnsi" w:hAnsiTheme="minorHAnsi"/>
            <w:sz w:val="22"/>
            <w:szCs w:val="22"/>
          </w:rPr>
          <w:instrText xml:space="preserve"> PAGE   \* MERGEFORMAT </w:instrText>
        </w:r>
        <w:r w:rsidRPr="00191C95">
          <w:rPr>
            <w:rFonts w:asciiTheme="minorHAnsi" w:hAnsiTheme="minorHAnsi"/>
            <w:sz w:val="22"/>
            <w:szCs w:val="22"/>
          </w:rPr>
          <w:fldChar w:fldCharType="separate"/>
        </w:r>
        <w:r w:rsidRPr="00191C95">
          <w:rPr>
            <w:rFonts w:asciiTheme="minorHAnsi" w:hAnsiTheme="minorHAnsi"/>
            <w:noProof/>
            <w:sz w:val="22"/>
            <w:szCs w:val="22"/>
          </w:rPr>
          <w:t>2</w:t>
        </w:r>
        <w:r w:rsidRPr="00191C95">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5002" w14:textId="77777777" w:rsidR="003A1CFD" w:rsidRDefault="003A1CFD" w:rsidP="005768EC">
      <w:r>
        <w:separator/>
      </w:r>
    </w:p>
  </w:footnote>
  <w:footnote w:type="continuationSeparator" w:id="0">
    <w:p w14:paraId="19040F65" w14:textId="77777777" w:rsidR="003A1CFD" w:rsidRDefault="003A1CFD" w:rsidP="0057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ACEE" w14:textId="77777777" w:rsidR="00191C95" w:rsidRDefault="00191C95">
    <w:pPr>
      <w:pStyle w:val="Header"/>
    </w:pPr>
    <w:r>
      <w:rPr>
        <w:noProof/>
      </w:rPr>
      <mc:AlternateContent>
        <mc:Choice Requires="wps">
          <w:drawing>
            <wp:anchor distT="0" distB="0" distL="114300" distR="114300" simplePos="0" relativeHeight="251661312" behindDoc="0" locked="0" layoutInCell="1" allowOverlap="1" wp14:anchorId="016AA123" wp14:editId="72B46DE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8" name="Rectangle 8"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37471144"/>
                            <w:dataBinding w:prefixMappings="xmlns:ns0='http://purl.org/dc/elements/1.1/' xmlns:ns1='http://schemas.openxmlformats.org/package/2006/metadata/core-properties' " w:xpath="/ns1:coreProperties[1]/ns0:title[1]" w:storeItemID="{6C3C8BC8-F283-45AE-878A-BAB7291924A1}"/>
                            <w15:appearance w15:val="hidden"/>
                            <w:text/>
                          </w:sdtPr>
                          <w:sdtContent>
                            <w:p w14:paraId="3FFCFCE3" w14:textId="77777777" w:rsidR="00191C95" w:rsidRDefault="00191C95">
                              <w:pPr>
                                <w:pStyle w:val="NoSpacing"/>
                                <w:jc w:val="center"/>
                                <w:rPr>
                                  <w:b/>
                                  <w:caps/>
                                  <w:spacing w:val="20"/>
                                  <w:sz w:val="28"/>
                                  <w:szCs w:val="28"/>
                                </w:rPr>
                              </w:pPr>
                              <w:r>
                                <w:rPr>
                                  <w:b/>
                                  <w:caps/>
                                  <w:spacing w:val="20"/>
                                  <w:sz w:val="28"/>
                                  <w:szCs w:val="28"/>
                                </w:rPr>
                                <w:t>Staff report Template Fuel-Neutral Version 1.3</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16AA123" id="Rectangle 8" o:spid="_x0000_s1026" alt="Title: Document Title" style="position:absolute;margin-left:0;margin-top:0;width:1in;height:22.3pt;z-index:251661312;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LaDOJL+AAAA4QEAABMAAAAAAAAAAAAAAAAAAAAAAFtDb250ZW50X1R5cGVz&#10;XS54bWxQSwECLQAUAAYACAAAACEAOP0h/9YAAACUAQAACwAAAAAAAAAAAAAAAAAvAQAAX3JlbHMv&#10;LnJlbHNQSwECLQAUAAYACAAAACEAf7+aUp4CAACdBQAADgAAAAAAAAAAAAAAAAAu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1237471144"/>
                      <w:dataBinding w:prefixMappings="xmlns:ns0='http://purl.org/dc/elements/1.1/' xmlns:ns1='http://schemas.openxmlformats.org/package/2006/metadata/core-properties' " w:xpath="/ns1:coreProperties[1]/ns0:title[1]" w:storeItemID="{6C3C8BC8-F283-45AE-878A-BAB7291924A1}"/>
                      <w15:appearance w15:val="hidden"/>
                      <w:text/>
                    </w:sdtPr>
                    <w:sdtContent>
                      <w:p w14:paraId="3FFCFCE3" w14:textId="77777777" w:rsidR="00191C95" w:rsidRDefault="00191C95">
                        <w:pPr>
                          <w:pStyle w:val="NoSpacing"/>
                          <w:jc w:val="center"/>
                          <w:rPr>
                            <w:b/>
                            <w:caps/>
                            <w:spacing w:val="20"/>
                            <w:sz w:val="28"/>
                            <w:szCs w:val="28"/>
                          </w:rPr>
                        </w:pPr>
                        <w:r>
                          <w:rPr>
                            <w:b/>
                            <w:caps/>
                            <w:spacing w:val="20"/>
                            <w:sz w:val="28"/>
                            <w:szCs w:val="28"/>
                          </w:rPr>
                          <w:t>Staff report Template Fuel-Neutral Version 1.3</w:t>
                        </w:r>
                      </w:p>
                    </w:sdtContent>
                  </w:sdt>
                </w:txbxContent>
              </v:textbox>
              <w10:wrap anchorx="page" anchory="page"/>
            </v:rect>
          </w:pict>
        </mc:Fallback>
      </mc:AlternateContent>
    </w:r>
  </w:p>
  <w:p w14:paraId="09C90FAA" w14:textId="77777777" w:rsidR="00191C95" w:rsidRDefault="0019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BCF"/>
    <w:multiLevelType w:val="hybridMultilevel"/>
    <w:tmpl w:val="4948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5C9C"/>
    <w:multiLevelType w:val="hybridMultilevel"/>
    <w:tmpl w:val="0FC0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7514A"/>
    <w:multiLevelType w:val="hybridMultilevel"/>
    <w:tmpl w:val="767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B1E1A"/>
    <w:multiLevelType w:val="hybridMultilevel"/>
    <w:tmpl w:val="27B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20CB8"/>
    <w:multiLevelType w:val="hybridMultilevel"/>
    <w:tmpl w:val="2F2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D0B65"/>
    <w:multiLevelType w:val="hybridMultilevel"/>
    <w:tmpl w:val="14B2385E"/>
    <w:lvl w:ilvl="0" w:tplc="FFFFFFFF">
      <w:start w:val="1"/>
      <w:numFmt w:val="bullet"/>
      <w:pStyle w:val="AttachmentsLine"/>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CD0551"/>
    <w:multiLevelType w:val="hybridMultilevel"/>
    <w:tmpl w:val="2862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D27A7"/>
    <w:multiLevelType w:val="hybridMultilevel"/>
    <w:tmpl w:val="B1AA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8236E"/>
    <w:multiLevelType w:val="hybridMultilevel"/>
    <w:tmpl w:val="DD06C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BC3E08"/>
    <w:multiLevelType w:val="hybridMultilevel"/>
    <w:tmpl w:val="EE3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A12E1"/>
    <w:multiLevelType w:val="hybridMultilevel"/>
    <w:tmpl w:val="D1F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F6205"/>
    <w:multiLevelType w:val="hybridMultilevel"/>
    <w:tmpl w:val="5894AED0"/>
    <w:lvl w:ilvl="0" w:tplc="FA24FD6A">
      <w:start w:val="1"/>
      <w:numFmt w:val="bullet"/>
      <w:pStyle w:val="ListParagraph"/>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12" w15:restartNumberingAfterBreak="0">
    <w:nsid w:val="682821A1"/>
    <w:multiLevelType w:val="hybridMultilevel"/>
    <w:tmpl w:val="AD82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6469C1"/>
    <w:multiLevelType w:val="hybridMultilevel"/>
    <w:tmpl w:val="9E9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64BEF"/>
    <w:multiLevelType w:val="hybridMultilevel"/>
    <w:tmpl w:val="4F98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0"/>
  </w:num>
  <w:num w:numId="6">
    <w:abstractNumId w:val="5"/>
  </w:num>
  <w:num w:numId="7">
    <w:abstractNumId w:val="13"/>
  </w:num>
  <w:num w:numId="8">
    <w:abstractNumId w:val="14"/>
  </w:num>
  <w:num w:numId="9">
    <w:abstractNumId w:val="7"/>
  </w:num>
  <w:num w:numId="10">
    <w:abstractNumId w:val="9"/>
  </w:num>
  <w:num w:numId="11">
    <w:abstractNumId w:val="0"/>
  </w:num>
  <w:num w:numId="12">
    <w:abstractNumId w:val="2"/>
  </w:num>
  <w:num w:numId="13">
    <w:abstractNumId w:val="1"/>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EC"/>
    <w:rsid w:val="000279B0"/>
    <w:rsid w:val="00032B68"/>
    <w:rsid w:val="00037952"/>
    <w:rsid w:val="00055557"/>
    <w:rsid w:val="00063029"/>
    <w:rsid w:val="00065033"/>
    <w:rsid w:val="000663A1"/>
    <w:rsid w:val="0007726F"/>
    <w:rsid w:val="000779D8"/>
    <w:rsid w:val="00081B66"/>
    <w:rsid w:val="00082FE2"/>
    <w:rsid w:val="00097640"/>
    <w:rsid w:val="000E0300"/>
    <w:rsid w:val="000E171B"/>
    <w:rsid w:val="000E1C2A"/>
    <w:rsid w:val="000E76CF"/>
    <w:rsid w:val="000F1C89"/>
    <w:rsid w:val="00103400"/>
    <w:rsid w:val="00122AE3"/>
    <w:rsid w:val="00133028"/>
    <w:rsid w:val="001413CD"/>
    <w:rsid w:val="00191C95"/>
    <w:rsid w:val="001A0EBA"/>
    <w:rsid w:val="001A37DD"/>
    <w:rsid w:val="001B2A74"/>
    <w:rsid w:val="001D30D7"/>
    <w:rsid w:val="001E443F"/>
    <w:rsid w:val="001F436D"/>
    <w:rsid w:val="002178D6"/>
    <w:rsid w:val="00263970"/>
    <w:rsid w:val="00274FF7"/>
    <w:rsid w:val="0028787B"/>
    <w:rsid w:val="002B7682"/>
    <w:rsid w:val="002F1A89"/>
    <w:rsid w:val="00300360"/>
    <w:rsid w:val="003200EB"/>
    <w:rsid w:val="00324DEF"/>
    <w:rsid w:val="0033553A"/>
    <w:rsid w:val="00346442"/>
    <w:rsid w:val="00351EE9"/>
    <w:rsid w:val="0035691A"/>
    <w:rsid w:val="00364F86"/>
    <w:rsid w:val="00373167"/>
    <w:rsid w:val="003738F5"/>
    <w:rsid w:val="00385FAB"/>
    <w:rsid w:val="0039357E"/>
    <w:rsid w:val="003A1CFD"/>
    <w:rsid w:val="003B3118"/>
    <w:rsid w:val="003C0655"/>
    <w:rsid w:val="003C476F"/>
    <w:rsid w:val="003D6FFA"/>
    <w:rsid w:val="003E17C9"/>
    <w:rsid w:val="004067C4"/>
    <w:rsid w:val="0040788B"/>
    <w:rsid w:val="004235F3"/>
    <w:rsid w:val="00433CA5"/>
    <w:rsid w:val="00440671"/>
    <w:rsid w:val="004476CC"/>
    <w:rsid w:val="0044774D"/>
    <w:rsid w:val="00455A34"/>
    <w:rsid w:val="00460E3D"/>
    <w:rsid w:val="0047416A"/>
    <w:rsid w:val="00482E03"/>
    <w:rsid w:val="0049206E"/>
    <w:rsid w:val="004B3487"/>
    <w:rsid w:val="004D62ED"/>
    <w:rsid w:val="004E1A59"/>
    <w:rsid w:val="004E3E3D"/>
    <w:rsid w:val="004E48E4"/>
    <w:rsid w:val="004F7368"/>
    <w:rsid w:val="00515544"/>
    <w:rsid w:val="00523AD7"/>
    <w:rsid w:val="00524272"/>
    <w:rsid w:val="005244F1"/>
    <w:rsid w:val="005248E0"/>
    <w:rsid w:val="00525D8A"/>
    <w:rsid w:val="00526D1A"/>
    <w:rsid w:val="005525E6"/>
    <w:rsid w:val="00553FC2"/>
    <w:rsid w:val="00555E9B"/>
    <w:rsid w:val="005633B4"/>
    <w:rsid w:val="00573705"/>
    <w:rsid w:val="005768EC"/>
    <w:rsid w:val="00590E1D"/>
    <w:rsid w:val="005B1D75"/>
    <w:rsid w:val="005E0D99"/>
    <w:rsid w:val="006105FF"/>
    <w:rsid w:val="0061289B"/>
    <w:rsid w:val="00613051"/>
    <w:rsid w:val="00617E1D"/>
    <w:rsid w:val="00622682"/>
    <w:rsid w:val="0063070F"/>
    <w:rsid w:val="00646399"/>
    <w:rsid w:val="006470BC"/>
    <w:rsid w:val="00654192"/>
    <w:rsid w:val="006642A7"/>
    <w:rsid w:val="00666A0A"/>
    <w:rsid w:val="006760B6"/>
    <w:rsid w:val="00676BE9"/>
    <w:rsid w:val="00697DDE"/>
    <w:rsid w:val="006C42A2"/>
    <w:rsid w:val="006D4036"/>
    <w:rsid w:val="006E488C"/>
    <w:rsid w:val="00703AD5"/>
    <w:rsid w:val="00711F42"/>
    <w:rsid w:val="007139CD"/>
    <w:rsid w:val="00747B72"/>
    <w:rsid w:val="00753428"/>
    <w:rsid w:val="0076055F"/>
    <w:rsid w:val="00784749"/>
    <w:rsid w:val="0079172D"/>
    <w:rsid w:val="007B0F7E"/>
    <w:rsid w:val="007B4DBC"/>
    <w:rsid w:val="007D3A14"/>
    <w:rsid w:val="008013E6"/>
    <w:rsid w:val="00806DC6"/>
    <w:rsid w:val="008600AC"/>
    <w:rsid w:val="00866A9A"/>
    <w:rsid w:val="00883580"/>
    <w:rsid w:val="00883E37"/>
    <w:rsid w:val="008A7C3E"/>
    <w:rsid w:val="008C5E21"/>
    <w:rsid w:val="008D125C"/>
    <w:rsid w:val="008F3842"/>
    <w:rsid w:val="00911107"/>
    <w:rsid w:val="009257E0"/>
    <w:rsid w:val="00933DDF"/>
    <w:rsid w:val="00943DF9"/>
    <w:rsid w:val="0096037D"/>
    <w:rsid w:val="00966C47"/>
    <w:rsid w:val="009718D4"/>
    <w:rsid w:val="00973969"/>
    <w:rsid w:val="009804FE"/>
    <w:rsid w:val="00991F81"/>
    <w:rsid w:val="009A1181"/>
    <w:rsid w:val="009A4737"/>
    <w:rsid w:val="009A5AD0"/>
    <w:rsid w:val="009B56F8"/>
    <w:rsid w:val="009D060C"/>
    <w:rsid w:val="009D2159"/>
    <w:rsid w:val="009D76B4"/>
    <w:rsid w:val="009F3126"/>
    <w:rsid w:val="00A11EA4"/>
    <w:rsid w:val="00A12FB7"/>
    <w:rsid w:val="00A476DD"/>
    <w:rsid w:val="00A662A0"/>
    <w:rsid w:val="00A66983"/>
    <w:rsid w:val="00A7260E"/>
    <w:rsid w:val="00A74117"/>
    <w:rsid w:val="00A74E83"/>
    <w:rsid w:val="00A85E5A"/>
    <w:rsid w:val="00A90DC4"/>
    <w:rsid w:val="00AA3228"/>
    <w:rsid w:val="00AA5E64"/>
    <w:rsid w:val="00AB0401"/>
    <w:rsid w:val="00AB3BB4"/>
    <w:rsid w:val="00AB450F"/>
    <w:rsid w:val="00AD3282"/>
    <w:rsid w:val="00B01995"/>
    <w:rsid w:val="00B03206"/>
    <w:rsid w:val="00B068BF"/>
    <w:rsid w:val="00B14AD6"/>
    <w:rsid w:val="00B16CFA"/>
    <w:rsid w:val="00B23AFE"/>
    <w:rsid w:val="00B24A0B"/>
    <w:rsid w:val="00B259B7"/>
    <w:rsid w:val="00B41D05"/>
    <w:rsid w:val="00B4695B"/>
    <w:rsid w:val="00B475EE"/>
    <w:rsid w:val="00B47FC9"/>
    <w:rsid w:val="00B50820"/>
    <w:rsid w:val="00B63E21"/>
    <w:rsid w:val="00B7296D"/>
    <w:rsid w:val="00B75A5B"/>
    <w:rsid w:val="00B76880"/>
    <w:rsid w:val="00B85CA2"/>
    <w:rsid w:val="00B93CF1"/>
    <w:rsid w:val="00BA213C"/>
    <w:rsid w:val="00BD14A7"/>
    <w:rsid w:val="00BD41EC"/>
    <w:rsid w:val="00BF3796"/>
    <w:rsid w:val="00BF726E"/>
    <w:rsid w:val="00C072E7"/>
    <w:rsid w:val="00C2195E"/>
    <w:rsid w:val="00C3258B"/>
    <w:rsid w:val="00C366B3"/>
    <w:rsid w:val="00C405F2"/>
    <w:rsid w:val="00C41C55"/>
    <w:rsid w:val="00C43D43"/>
    <w:rsid w:val="00C5666E"/>
    <w:rsid w:val="00C65ABD"/>
    <w:rsid w:val="00C83FD3"/>
    <w:rsid w:val="00CC56AD"/>
    <w:rsid w:val="00CC7578"/>
    <w:rsid w:val="00CD2834"/>
    <w:rsid w:val="00CE5D7A"/>
    <w:rsid w:val="00CF0672"/>
    <w:rsid w:val="00CF3520"/>
    <w:rsid w:val="00D0133C"/>
    <w:rsid w:val="00D06421"/>
    <w:rsid w:val="00D06C5A"/>
    <w:rsid w:val="00D1186A"/>
    <w:rsid w:val="00D26AA4"/>
    <w:rsid w:val="00D40284"/>
    <w:rsid w:val="00D426B4"/>
    <w:rsid w:val="00D515E3"/>
    <w:rsid w:val="00D51E33"/>
    <w:rsid w:val="00D72EFB"/>
    <w:rsid w:val="00D80B16"/>
    <w:rsid w:val="00D83F10"/>
    <w:rsid w:val="00D924C1"/>
    <w:rsid w:val="00D94A21"/>
    <w:rsid w:val="00D956BD"/>
    <w:rsid w:val="00DA6228"/>
    <w:rsid w:val="00DA7001"/>
    <w:rsid w:val="00DB2766"/>
    <w:rsid w:val="00DC076A"/>
    <w:rsid w:val="00DC14AB"/>
    <w:rsid w:val="00DC78E2"/>
    <w:rsid w:val="00DC7923"/>
    <w:rsid w:val="00DD2C36"/>
    <w:rsid w:val="00DD34B9"/>
    <w:rsid w:val="00DF0F5E"/>
    <w:rsid w:val="00DF1F3C"/>
    <w:rsid w:val="00DF7255"/>
    <w:rsid w:val="00E12D9B"/>
    <w:rsid w:val="00E165C9"/>
    <w:rsid w:val="00E20191"/>
    <w:rsid w:val="00E36FA2"/>
    <w:rsid w:val="00E526AE"/>
    <w:rsid w:val="00E60F67"/>
    <w:rsid w:val="00E9059E"/>
    <w:rsid w:val="00E91E4D"/>
    <w:rsid w:val="00E93120"/>
    <w:rsid w:val="00EA2C44"/>
    <w:rsid w:val="00ED59EE"/>
    <w:rsid w:val="00ED5BF5"/>
    <w:rsid w:val="00EE752A"/>
    <w:rsid w:val="00EF3E81"/>
    <w:rsid w:val="00F00331"/>
    <w:rsid w:val="00F054BE"/>
    <w:rsid w:val="00F06783"/>
    <w:rsid w:val="00F13072"/>
    <w:rsid w:val="00F14D41"/>
    <w:rsid w:val="00F15715"/>
    <w:rsid w:val="00F63F73"/>
    <w:rsid w:val="00F71CB3"/>
    <w:rsid w:val="00F871D9"/>
    <w:rsid w:val="00FB4DB8"/>
    <w:rsid w:val="00FE22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C945"/>
  <w15:docId w15:val="{C7FDCBB1-9ABB-4F71-AB2E-2D6C73C4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5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2FB7"/>
    <w:pPr>
      <w:autoSpaceDN w:val="0"/>
      <w:spacing w:before="240"/>
      <w:outlineLvl w:val="0"/>
    </w:pPr>
    <w:rPr>
      <w:rFonts w:ascii="Palatino Linotype" w:eastAsia="MS Mincho" w:hAnsi="Palatino Linotype"/>
      <w:b/>
      <w:bCs/>
      <w:color w:val="000000"/>
      <w:sz w:val="30"/>
      <w:szCs w:val="30"/>
    </w:rPr>
  </w:style>
  <w:style w:type="paragraph" w:styleId="Heading2">
    <w:name w:val="heading 2"/>
    <w:basedOn w:val="Normal"/>
    <w:next w:val="Normal"/>
    <w:link w:val="Heading2Char"/>
    <w:uiPriority w:val="9"/>
    <w:unhideWhenUsed/>
    <w:qFormat/>
    <w:rsid w:val="00ED5BF5"/>
    <w:pPr>
      <w:autoSpaceDE w:val="0"/>
      <w:autoSpaceDN w:val="0"/>
      <w:adjustRightInd w:val="0"/>
      <w:spacing w:after="140" w:line="300" w:lineRule="atLeast"/>
      <w:outlineLvl w:val="1"/>
    </w:pPr>
    <w:rPr>
      <w:rFonts w:ascii="Palatino" w:eastAsia="MS Mincho" w:hAnsi="Palatino" w:cs="LucidaBright"/>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68EC"/>
    <w:rPr>
      <w:color w:val="0000FF"/>
      <w:u w:val="single"/>
    </w:rPr>
  </w:style>
  <w:style w:type="paragraph" w:styleId="CommentText">
    <w:name w:val="annotation text"/>
    <w:basedOn w:val="Normal"/>
    <w:link w:val="CommentTextChar"/>
    <w:uiPriority w:val="99"/>
    <w:semiHidden/>
    <w:unhideWhenUsed/>
    <w:rsid w:val="005768EC"/>
    <w:pPr>
      <w:autoSpaceDE w:val="0"/>
      <w:autoSpaceDN w:val="0"/>
      <w:adjustRightInd w:val="0"/>
      <w:spacing w:after="140"/>
    </w:pPr>
    <w:rPr>
      <w:rFonts w:ascii="Palatino" w:eastAsia="MS Mincho" w:hAnsi="Palatino" w:cs="LucidaBright"/>
      <w:bCs/>
      <w:color w:val="000000"/>
    </w:rPr>
  </w:style>
  <w:style w:type="character" w:customStyle="1" w:styleId="CommentTextChar">
    <w:name w:val="Comment Text Char"/>
    <w:basedOn w:val="DefaultParagraphFont"/>
    <w:link w:val="CommentText"/>
    <w:uiPriority w:val="99"/>
    <w:semiHidden/>
    <w:rsid w:val="005768EC"/>
    <w:rPr>
      <w:rFonts w:ascii="Palatino" w:eastAsia="MS Mincho" w:hAnsi="Palatino" w:cs="LucidaBright"/>
      <w:bCs/>
      <w:color w:val="000000"/>
      <w:sz w:val="24"/>
      <w:szCs w:val="24"/>
    </w:rPr>
  </w:style>
  <w:style w:type="paragraph" w:styleId="ListParagraph">
    <w:name w:val="List Paragraph"/>
    <w:basedOn w:val="Normal"/>
    <w:uiPriority w:val="34"/>
    <w:qFormat/>
    <w:rsid w:val="005768EC"/>
    <w:pPr>
      <w:numPr>
        <w:numId w:val="1"/>
      </w:numPr>
      <w:autoSpaceDE w:val="0"/>
      <w:autoSpaceDN w:val="0"/>
      <w:adjustRightInd w:val="0"/>
      <w:spacing w:after="60" w:line="300" w:lineRule="atLeast"/>
    </w:pPr>
    <w:rPr>
      <w:rFonts w:ascii="Palatino" w:eastAsia="MS Mincho" w:hAnsi="Palatino" w:cs="LucidaBright"/>
      <w:bCs/>
      <w:color w:val="000000"/>
    </w:rPr>
  </w:style>
  <w:style w:type="character" w:styleId="CommentReference">
    <w:name w:val="annotation reference"/>
    <w:basedOn w:val="DefaultParagraphFont"/>
    <w:uiPriority w:val="99"/>
    <w:semiHidden/>
    <w:unhideWhenUsed/>
    <w:rsid w:val="005768EC"/>
    <w:rPr>
      <w:sz w:val="18"/>
      <w:szCs w:val="18"/>
    </w:rPr>
  </w:style>
  <w:style w:type="paragraph" w:styleId="BalloonText">
    <w:name w:val="Balloon Text"/>
    <w:basedOn w:val="Normal"/>
    <w:link w:val="BalloonTextChar"/>
    <w:uiPriority w:val="99"/>
    <w:semiHidden/>
    <w:unhideWhenUsed/>
    <w:rsid w:val="005768EC"/>
    <w:pPr>
      <w:autoSpaceDE w:val="0"/>
      <w:autoSpaceDN w:val="0"/>
      <w:adjustRightInd w:val="0"/>
    </w:pPr>
    <w:rPr>
      <w:rFonts w:ascii="Segoe UI" w:eastAsia="MS Mincho" w:hAnsi="Segoe UI" w:cs="Segoe UI"/>
      <w:bCs/>
      <w:color w:val="000000"/>
      <w:sz w:val="18"/>
      <w:szCs w:val="18"/>
    </w:rPr>
  </w:style>
  <w:style w:type="character" w:customStyle="1" w:styleId="BalloonTextChar">
    <w:name w:val="Balloon Text Char"/>
    <w:basedOn w:val="DefaultParagraphFont"/>
    <w:link w:val="BalloonText"/>
    <w:uiPriority w:val="99"/>
    <w:semiHidden/>
    <w:rsid w:val="005768EC"/>
    <w:rPr>
      <w:rFonts w:ascii="Segoe UI" w:eastAsia="MS Mincho" w:hAnsi="Segoe UI" w:cs="Segoe UI"/>
      <w:bCs/>
      <w:color w:val="000000"/>
      <w:sz w:val="18"/>
      <w:szCs w:val="18"/>
    </w:rPr>
  </w:style>
  <w:style w:type="paragraph" w:styleId="Header">
    <w:name w:val="header"/>
    <w:basedOn w:val="Normal"/>
    <w:link w:val="HeaderChar"/>
    <w:uiPriority w:val="99"/>
    <w:unhideWhenUsed/>
    <w:rsid w:val="005768EC"/>
    <w:pPr>
      <w:tabs>
        <w:tab w:val="center" w:pos="4680"/>
        <w:tab w:val="right" w:pos="9360"/>
      </w:tabs>
      <w:autoSpaceDE w:val="0"/>
      <w:autoSpaceDN w:val="0"/>
      <w:adjustRightInd w:val="0"/>
    </w:pPr>
    <w:rPr>
      <w:rFonts w:ascii="Palatino" w:eastAsia="MS Mincho" w:hAnsi="Palatino" w:cs="LucidaBright"/>
      <w:bCs/>
      <w:color w:val="000000"/>
    </w:rPr>
  </w:style>
  <w:style w:type="character" w:customStyle="1" w:styleId="HeaderChar">
    <w:name w:val="Header Char"/>
    <w:basedOn w:val="DefaultParagraphFont"/>
    <w:link w:val="Header"/>
    <w:uiPriority w:val="99"/>
    <w:rsid w:val="005768EC"/>
    <w:rPr>
      <w:rFonts w:ascii="Palatino" w:eastAsia="MS Mincho" w:hAnsi="Palatino" w:cs="LucidaBright"/>
      <w:bCs/>
      <w:color w:val="000000"/>
      <w:sz w:val="24"/>
      <w:szCs w:val="24"/>
    </w:rPr>
  </w:style>
  <w:style w:type="paragraph" w:styleId="Footer">
    <w:name w:val="footer"/>
    <w:basedOn w:val="Normal"/>
    <w:link w:val="FooterChar"/>
    <w:uiPriority w:val="99"/>
    <w:unhideWhenUsed/>
    <w:rsid w:val="005768EC"/>
    <w:pPr>
      <w:tabs>
        <w:tab w:val="center" w:pos="4680"/>
        <w:tab w:val="right" w:pos="9360"/>
      </w:tabs>
      <w:autoSpaceDE w:val="0"/>
      <w:autoSpaceDN w:val="0"/>
      <w:adjustRightInd w:val="0"/>
    </w:pPr>
    <w:rPr>
      <w:rFonts w:ascii="Palatino" w:eastAsia="MS Mincho" w:hAnsi="Palatino" w:cs="LucidaBright"/>
      <w:bCs/>
      <w:color w:val="000000"/>
    </w:rPr>
  </w:style>
  <w:style w:type="character" w:customStyle="1" w:styleId="FooterChar">
    <w:name w:val="Footer Char"/>
    <w:basedOn w:val="DefaultParagraphFont"/>
    <w:link w:val="Footer"/>
    <w:uiPriority w:val="99"/>
    <w:rsid w:val="005768EC"/>
    <w:rPr>
      <w:rFonts w:ascii="Palatino" w:eastAsia="MS Mincho" w:hAnsi="Palatino" w:cs="LucidaBright"/>
      <w:bCs/>
      <w:color w:val="000000"/>
      <w:sz w:val="24"/>
      <w:szCs w:val="24"/>
    </w:rPr>
  </w:style>
  <w:style w:type="paragraph" w:customStyle="1" w:styleId="AttachmentsHeading">
    <w:name w:val="Attachments Heading"/>
    <w:basedOn w:val="Normal"/>
    <w:rsid w:val="00646399"/>
    <w:pPr>
      <w:keepNext/>
      <w:spacing w:after="120"/>
    </w:pPr>
    <w:rPr>
      <w:rFonts w:ascii="Verdana" w:hAnsi="Verdana" w:cs="Verdana"/>
      <w:b/>
      <w:bCs/>
      <w:caps/>
      <w:color w:val="333333"/>
      <w:sz w:val="20"/>
      <w:szCs w:val="16"/>
    </w:rPr>
  </w:style>
  <w:style w:type="paragraph" w:customStyle="1" w:styleId="AttachmentsLine">
    <w:name w:val="Attachments Line"/>
    <w:basedOn w:val="Normal"/>
    <w:rsid w:val="00646399"/>
    <w:pPr>
      <w:numPr>
        <w:numId w:val="6"/>
      </w:numPr>
      <w:spacing w:after="60"/>
      <w:outlineLvl w:val="0"/>
    </w:pPr>
    <w:rPr>
      <w:rFonts w:ascii="Verdana" w:hAnsi="Verdana" w:cs="Verdana"/>
      <w:color w:val="333333"/>
      <w:sz w:val="20"/>
      <w:szCs w:val="16"/>
    </w:rPr>
  </w:style>
  <w:style w:type="paragraph" w:styleId="CommentSubject">
    <w:name w:val="annotation subject"/>
    <w:basedOn w:val="CommentText"/>
    <w:next w:val="CommentText"/>
    <w:link w:val="CommentSubjectChar"/>
    <w:uiPriority w:val="99"/>
    <w:semiHidden/>
    <w:unhideWhenUsed/>
    <w:rsid w:val="00966C47"/>
    <w:rPr>
      <w:b/>
      <w:sz w:val="20"/>
      <w:szCs w:val="20"/>
    </w:rPr>
  </w:style>
  <w:style w:type="character" w:customStyle="1" w:styleId="CommentSubjectChar">
    <w:name w:val="Comment Subject Char"/>
    <w:basedOn w:val="CommentTextChar"/>
    <w:link w:val="CommentSubject"/>
    <w:uiPriority w:val="99"/>
    <w:semiHidden/>
    <w:rsid w:val="00966C47"/>
    <w:rPr>
      <w:rFonts w:ascii="Palatino" w:eastAsia="MS Mincho" w:hAnsi="Palatino" w:cs="LucidaBright"/>
      <w:b/>
      <w:bCs/>
      <w:color w:val="000000"/>
      <w:sz w:val="20"/>
      <w:szCs w:val="20"/>
    </w:rPr>
  </w:style>
  <w:style w:type="character" w:customStyle="1" w:styleId="Heading1Char">
    <w:name w:val="Heading 1 Char"/>
    <w:basedOn w:val="DefaultParagraphFont"/>
    <w:link w:val="Heading1"/>
    <w:uiPriority w:val="9"/>
    <w:rsid w:val="00A12FB7"/>
    <w:rPr>
      <w:rFonts w:ascii="Palatino Linotype" w:eastAsia="MS Mincho" w:hAnsi="Palatino Linotype" w:cs="Times New Roman"/>
      <w:b/>
      <w:bCs/>
      <w:color w:val="000000"/>
      <w:sz w:val="30"/>
      <w:szCs w:val="30"/>
    </w:rPr>
  </w:style>
  <w:style w:type="paragraph" w:styleId="FootnoteText">
    <w:name w:val="footnote text"/>
    <w:basedOn w:val="Normal"/>
    <w:link w:val="FootnoteTextChar"/>
    <w:uiPriority w:val="99"/>
    <w:semiHidden/>
    <w:unhideWhenUsed/>
    <w:rsid w:val="003738F5"/>
    <w:pPr>
      <w:autoSpaceDE w:val="0"/>
      <w:autoSpaceDN w:val="0"/>
      <w:adjustRightInd w:val="0"/>
    </w:pPr>
    <w:rPr>
      <w:rFonts w:ascii="Palatino" w:eastAsia="MS Mincho" w:hAnsi="Palatino" w:cs="LucidaBright"/>
      <w:bCs/>
      <w:color w:val="000000"/>
      <w:sz w:val="20"/>
      <w:szCs w:val="20"/>
    </w:rPr>
  </w:style>
  <w:style w:type="character" w:customStyle="1" w:styleId="FootnoteTextChar">
    <w:name w:val="Footnote Text Char"/>
    <w:basedOn w:val="DefaultParagraphFont"/>
    <w:link w:val="FootnoteText"/>
    <w:uiPriority w:val="99"/>
    <w:semiHidden/>
    <w:rsid w:val="003738F5"/>
    <w:rPr>
      <w:rFonts w:ascii="Palatino" w:eastAsia="MS Mincho" w:hAnsi="Palatino" w:cs="LucidaBright"/>
      <w:bCs/>
      <w:color w:val="000000"/>
      <w:sz w:val="20"/>
      <w:szCs w:val="20"/>
    </w:rPr>
  </w:style>
  <w:style w:type="character" w:styleId="FootnoteReference">
    <w:name w:val="footnote reference"/>
    <w:basedOn w:val="DefaultParagraphFont"/>
    <w:uiPriority w:val="99"/>
    <w:semiHidden/>
    <w:unhideWhenUsed/>
    <w:rsid w:val="003738F5"/>
    <w:rPr>
      <w:vertAlign w:val="superscript"/>
    </w:rPr>
  </w:style>
  <w:style w:type="table" w:styleId="TableGrid">
    <w:name w:val="Table Grid"/>
    <w:basedOn w:val="TableNormal"/>
    <w:uiPriority w:val="39"/>
    <w:rsid w:val="0035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12FB7"/>
    <w:pPr>
      <w:autoSpaceDE w:val="0"/>
      <w:autoSpaceDN w:val="0"/>
      <w:adjustRightInd w:val="0"/>
      <w:contextualSpacing/>
      <w:jc w:val="center"/>
    </w:pPr>
    <w:rPr>
      <w:rFonts w:asciiTheme="majorHAnsi" w:eastAsiaTheme="majorEastAsia" w:hAnsiTheme="majorHAnsi" w:cstheme="majorBidi"/>
      <w:bCs/>
      <w:spacing w:val="-10"/>
      <w:kern w:val="28"/>
      <w:sz w:val="40"/>
      <w:szCs w:val="40"/>
    </w:rPr>
  </w:style>
  <w:style w:type="character" w:customStyle="1" w:styleId="TitleChar">
    <w:name w:val="Title Char"/>
    <w:basedOn w:val="DefaultParagraphFont"/>
    <w:link w:val="Title"/>
    <w:uiPriority w:val="10"/>
    <w:rsid w:val="00A12FB7"/>
    <w:rPr>
      <w:rFonts w:asciiTheme="majorHAnsi" w:eastAsiaTheme="majorEastAsia" w:hAnsiTheme="majorHAnsi" w:cstheme="majorBidi"/>
      <w:bCs/>
      <w:spacing w:val="-10"/>
      <w:kern w:val="28"/>
      <w:sz w:val="40"/>
      <w:szCs w:val="40"/>
    </w:rPr>
  </w:style>
  <w:style w:type="paragraph" w:styleId="NoSpacing">
    <w:name w:val="No Spacing"/>
    <w:uiPriority w:val="1"/>
    <w:qFormat/>
    <w:rsid w:val="00A12FB7"/>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ED5BF5"/>
    <w:rPr>
      <w:rFonts w:ascii="Palatino" w:eastAsia="MS Mincho" w:hAnsi="Palatino" w:cs="LucidaBright"/>
      <w:bCs/>
      <w:color w:val="000000"/>
      <w:sz w:val="24"/>
      <w:szCs w:val="24"/>
      <w:u w:val="single"/>
    </w:rPr>
  </w:style>
  <w:style w:type="character" w:customStyle="1" w:styleId="Instructions">
    <w:name w:val="Instructions"/>
    <w:basedOn w:val="DefaultParagraphFont"/>
    <w:uiPriority w:val="1"/>
    <w:qFormat/>
    <w:rsid w:val="00DD34B9"/>
    <w:rPr>
      <w:b/>
      <w:bCs/>
      <w:i/>
      <w:caps w:val="0"/>
      <w:smallCaps w:val="0"/>
      <w:color w:val="5B9BD5" w:themeColor="accent1"/>
    </w:rPr>
  </w:style>
  <w:style w:type="paragraph" w:styleId="BodyText">
    <w:name w:val="Body Text"/>
    <w:basedOn w:val="Normal"/>
    <w:link w:val="BodyTextChar"/>
    <w:uiPriority w:val="99"/>
    <w:semiHidden/>
    <w:unhideWhenUsed/>
    <w:rsid w:val="00103400"/>
    <w:pPr>
      <w:spacing w:after="120"/>
    </w:pPr>
  </w:style>
  <w:style w:type="character" w:customStyle="1" w:styleId="BodyTextChar">
    <w:name w:val="Body Text Char"/>
    <w:basedOn w:val="DefaultParagraphFont"/>
    <w:link w:val="BodyText"/>
    <w:uiPriority w:val="99"/>
    <w:semiHidden/>
    <w:rsid w:val="00103400"/>
    <w:rPr>
      <w:rFonts w:ascii="Times New Roman" w:eastAsia="Times New Roman" w:hAnsi="Times New Roman" w:cs="Times New Roman"/>
      <w:sz w:val="24"/>
      <w:szCs w:val="24"/>
    </w:rPr>
  </w:style>
  <w:style w:type="paragraph" w:styleId="Revision">
    <w:name w:val="Revision"/>
    <w:hidden/>
    <w:uiPriority w:val="99"/>
    <w:semiHidden/>
    <w:rsid w:val="00103400"/>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55A34"/>
    <w:pPr>
      <w:spacing w:after="200"/>
    </w:pPr>
    <w:rPr>
      <w:i/>
      <w:iCs/>
      <w:color w:val="44546A" w:themeColor="text2"/>
      <w:sz w:val="18"/>
      <w:szCs w:val="18"/>
    </w:rPr>
  </w:style>
  <w:style w:type="character" w:customStyle="1" w:styleId="Heading5Char">
    <w:name w:val="Heading 5 Char"/>
    <w:basedOn w:val="DefaultParagraphFont"/>
    <w:uiPriority w:val="9"/>
    <w:semiHidden/>
    <w:rsid w:val="00622682"/>
    <w:rPr>
      <w:rFonts w:ascii="Calibri Light" w:eastAsia="Yu Gothic Light" w:hAnsi="Calibri Light" w:cs="Times New Roman"/>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711">
      <w:bodyDiv w:val="1"/>
      <w:marLeft w:val="0"/>
      <w:marRight w:val="0"/>
      <w:marTop w:val="0"/>
      <w:marBottom w:val="0"/>
      <w:divBdr>
        <w:top w:val="none" w:sz="0" w:space="0" w:color="auto"/>
        <w:left w:val="none" w:sz="0" w:space="0" w:color="auto"/>
        <w:bottom w:val="none" w:sz="0" w:space="0" w:color="auto"/>
        <w:right w:val="none" w:sz="0" w:space="0" w:color="auto"/>
      </w:divBdr>
    </w:div>
    <w:div w:id="172771638">
      <w:bodyDiv w:val="1"/>
      <w:marLeft w:val="0"/>
      <w:marRight w:val="0"/>
      <w:marTop w:val="0"/>
      <w:marBottom w:val="0"/>
      <w:divBdr>
        <w:top w:val="none" w:sz="0" w:space="0" w:color="auto"/>
        <w:left w:val="none" w:sz="0" w:space="0" w:color="auto"/>
        <w:bottom w:val="none" w:sz="0" w:space="0" w:color="auto"/>
        <w:right w:val="none" w:sz="0" w:space="0" w:color="auto"/>
      </w:divBdr>
    </w:div>
    <w:div w:id="308100760">
      <w:bodyDiv w:val="1"/>
      <w:marLeft w:val="0"/>
      <w:marRight w:val="0"/>
      <w:marTop w:val="0"/>
      <w:marBottom w:val="0"/>
      <w:divBdr>
        <w:top w:val="none" w:sz="0" w:space="0" w:color="auto"/>
        <w:left w:val="none" w:sz="0" w:space="0" w:color="auto"/>
        <w:bottom w:val="none" w:sz="0" w:space="0" w:color="auto"/>
        <w:right w:val="none" w:sz="0" w:space="0" w:color="auto"/>
      </w:divBdr>
    </w:div>
    <w:div w:id="465395540">
      <w:bodyDiv w:val="1"/>
      <w:marLeft w:val="0"/>
      <w:marRight w:val="0"/>
      <w:marTop w:val="0"/>
      <w:marBottom w:val="0"/>
      <w:divBdr>
        <w:top w:val="none" w:sz="0" w:space="0" w:color="auto"/>
        <w:left w:val="none" w:sz="0" w:space="0" w:color="auto"/>
        <w:bottom w:val="none" w:sz="0" w:space="0" w:color="auto"/>
        <w:right w:val="none" w:sz="0" w:space="0" w:color="auto"/>
      </w:divBdr>
    </w:div>
    <w:div w:id="661468029">
      <w:bodyDiv w:val="1"/>
      <w:marLeft w:val="0"/>
      <w:marRight w:val="0"/>
      <w:marTop w:val="0"/>
      <w:marBottom w:val="0"/>
      <w:divBdr>
        <w:top w:val="none" w:sz="0" w:space="0" w:color="auto"/>
        <w:left w:val="none" w:sz="0" w:space="0" w:color="auto"/>
        <w:bottom w:val="none" w:sz="0" w:space="0" w:color="auto"/>
        <w:right w:val="none" w:sz="0" w:space="0" w:color="auto"/>
      </w:divBdr>
    </w:div>
    <w:div w:id="702167919">
      <w:bodyDiv w:val="1"/>
      <w:marLeft w:val="0"/>
      <w:marRight w:val="0"/>
      <w:marTop w:val="0"/>
      <w:marBottom w:val="0"/>
      <w:divBdr>
        <w:top w:val="none" w:sz="0" w:space="0" w:color="auto"/>
        <w:left w:val="none" w:sz="0" w:space="0" w:color="auto"/>
        <w:bottom w:val="none" w:sz="0" w:space="0" w:color="auto"/>
        <w:right w:val="none" w:sz="0" w:space="0" w:color="auto"/>
      </w:divBdr>
    </w:div>
    <w:div w:id="841549453">
      <w:bodyDiv w:val="1"/>
      <w:marLeft w:val="0"/>
      <w:marRight w:val="0"/>
      <w:marTop w:val="0"/>
      <w:marBottom w:val="0"/>
      <w:divBdr>
        <w:top w:val="none" w:sz="0" w:space="0" w:color="auto"/>
        <w:left w:val="none" w:sz="0" w:space="0" w:color="auto"/>
        <w:bottom w:val="none" w:sz="0" w:space="0" w:color="auto"/>
        <w:right w:val="none" w:sz="0" w:space="0" w:color="auto"/>
      </w:divBdr>
    </w:div>
    <w:div w:id="878203616">
      <w:bodyDiv w:val="1"/>
      <w:marLeft w:val="0"/>
      <w:marRight w:val="0"/>
      <w:marTop w:val="0"/>
      <w:marBottom w:val="0"/>
      <w:divBdr>
        <w:top w:val="none" w:sz="0" w:space="0" w:color="auto"/>
        <w:left w:val="none" w:sz="0" w:space="0" w:color="auto"/>
        <w:bottom w:val="none" w:sz="0" w:space="0" w:color="auto"/>
        <w:right w:val="none" w:sz="0" w:space="0" w:color="auto"/>
      </w:divBdr>
    </w:div>
    <w:div w:id="968822160">
      <w:bodyDiv w:val="1"/>
      <w:marLeft w:val="0"/>
      <w:marRight w:val="0"/>
      <w:marTop w:val="0"/>
      <w:marBottom w:val="0"/>
      <w:divBdr>
        <w:top w:val="none" w:sz="0" w:space="0" w:color="auto"/>
        <w:left w:val="none" w:sz="0" w:space="0" w:color="auto"/>
        <w:bottom w:val="none" w:sz="0" w:space="0" w:color="auto"/>
        <w:right w:val="none" w:sz="0" w:space="0" w:color="auto"/>
      </w:divBdr>
    </w:div>
    <w:div w:id="1275677202">
      <w:bodyDiv w:val="1"/>
      <w:marLeft w:val="0"/>
      <w:marRight w:val="0"/>
      <w:marTop w:val="0"/>
      <w:marBottom w:val="0"/>
      <w:divBdr>
        <w:top w:val="none" w:sz="0" w:space="0" w:color="auto"/>
        <w:left w:val="none" w:sz="0" w:space="0" w:color="auto"/>
        <w:bottom w:val="none" w:sz="0" w:space="0" w:color="auto"/>
        <w:right w:val="none" w:sz="0" w:space="0" w:color="auto"/>
      </w:divBdr>
    </w:div>
    <w:div w:id="1409769570">
      <w:bodyDiv w:val="1"/>
      <w:marLeft w:val="0"/>
      <w:marRight w:val="0"/>
      <w:marTop w:val="0"/>
      <w:marBottom w:val="0"/>
      <w:divBdr>
        <w:top w:val="none" w:sz="0" w:space="0" w:color="auto"/>
        <w:left w:val="none" w:sz="0" w:space="0" w:color="auto"/>
        <w:bottom w:val="none" w:sz="0" w:space="0" w:color="auto"/>
        <w:right w:val="none" w:sz="0" w:space="0" w:color="auto"/>
      </w:divBdr>
    </w:div>
    <w:div w:id="1495141690">
      <w:bodyDiv w:val="1"/>
      <w:marLeft w:val="0"/>
      <w:marRight w:val="0"/>
      <w:marTop w:val="0"/>
      <w:marBottom w:val="0"/>
      <w:divBdr>
        <w:top w:val="none" w:sz="0" w:space="0" w:color="auto"/>
        <w:left w:val="none" w:sz="0" w:space="0" w:color="auto"/>
        <w:bottom w:val="none" w:sz="0" w:space="0" w:color="auto"/>
        <w:right w:val="none" w:sz="0" w:space="0" w:color="auto"/>
      </w:divBdr>
    </w:div>
    <w:div w:id="1513642584">
      <w:bodyDiv w:val="1"/>
      <w:marLeft w:val="0"/>
      <w:marRight w:val="0"/>
      <w:marTop w:val="0"/>
      <w:marBottom w:val="0"/>
      <w:divBdr>
        <w:top w:val="none" w:sz="0" w:space="0" w:color="auto"/>
        <w:left w:val="none" w:sz="0" w:space="0" w:color="auto"/>
        <w:bottom w:val="none" w:sz="0" w:space="0" w:color="auto"/>
        <w:right w:val="none" w:sz="0" w:space="0" w:color="auto"/>
      </w:divBdr>
    </w:div>
    <w:div w:id="1645428419">
      <w:bodyDiv w:val="1"/>
      <w:marLeft w:val="0"/>
      <w:marRight w:val="0"/>
      <w:marTop w:val="0"/>
      <w:marBottom w:val="0"/>
      <w:divBdr>
        <w:top w:val="none" w:sz="0" w:space="0" w:color="auto"/>
        <w:left w:val="none" w:sz="0" w:space="0" w:color="auto"/>
        <w:bottom w:val="none" w:sz="0" w:space="0" w:color="auto"/>
        <w:right w:val="none" w:sz="0" w:space="0" w:color="auto"/>
      </w:divBdr>
    </w:div>
    <w:div w:id="1997024488">
      <w:bodyDiv w:val="1"/>
      <w:marLeft w:val="0"/>
      <w:marRight w:val="0"/>
      <w:marTop w:val="0"/>
      <w:marBottom w:val="0"/>
      <w:divBdr>
        <w:top w:val="none" w:sz="0" w:space="0" w:color="auto"/>
        <w:left w:val="none" w:sz="0" w:space="0" w:color="auto"/>
        <w:bottom w:val="none" w:sz="0" w:space="0" w:color="auto"/>
        <w:right w:val="none" w:sz="0" w:space="0" w:color="auto"/>
      </w:divBdr>
    </w:div>
    <w:div w:id="2116704501">
      <w:bodyDiv w:val="1"/>
      <w:marLeft w:val="0"/>
      <w:marRight w:val="0"/>
      <w:marTop w:val="0"/>
      <w:marBottom w:val="0"/>
      <w:divBdr>
        <w:top w:val="none" w:sz="0" w:space="0" w:color="auto"/>
        <w:left w:val="none" w:sz="0" w:space="0" w:color="auto"/>
        <w:bottom w:val="none" w:sz="0" w:space="0" w:color="auto"/>
        <w:right w:val="none" w:sz="0" w:space="0" w:color="auto"/>
      </w:divBdr>
    </w:div>
    <w:div w:id="2120365707">
      <w:bodyDiv w:val="1"/>
      <w:marLeft w:val="0"/>
      <w:marRight w:val="0"/>
      <w:marTop w:val="0"/>
      <w:marBottom w:val="0"/>
      <w:divBdr>
        <w:top w:val="none" w:sz="0" w:space="0" w:color="auto"/>
        <w:left w:val="none" w:sz="0" w:space="0" w:color="auto"/>
        <w:bottom w:val="none" w:sz="0" w:space="0" w:color="auto"/>
        <w:right w:val="none" w:sz="0" w:space="0" w:color="auto"/>
      </w:divBdr>
    </w:div>
    <w:div w:id="21216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yperlink" Target="mailto:info@LocalEnergyCodes.com"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energycodes.com/content/2019-local-energy-ordinances/" TargetMode="Externa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66063C000674B914D98A3EA64001D" ma:contentTypeVersion="10" ma:contentTypeDescription="Create a new document." ma:contentTypeScope="" ma:versionID="d2845df7384d2a6dbc84b651941c30cc">
  <xsd:schema xmlns:xsd="http://www.w3.org/2001/XMLSchema" xmlns:xs="http://www.w3.org/2001/XMLSchema" xmlns:p="http://schemas.microsoft.com/office/2006/metadata/properties" xmlns:ns3="52200b34-7845-4522-981a-5fed27e66a47" targetNamespace="http://schemas.microsoft.com/office/2006/metadata/properties" ma:root="true" ma:fieldsID="eb428a029925ead6119efb84cb3914d6" ns3:_="">
    <xsd:import namespace="52200b34-7845-4522-981a-5fed27e66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00b34-7845-4522-981a-5fed27e66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EF0D-E34F-4335-BDB4-B08115C14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F9B1A-5DCA-4169-A8BD-67612596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00b34-7845-4522-981a-5fed27e66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CBCDD-C3F8-4F8F-A258-18FF8B3B5F9E}">
  <ds:schemaRefs>
    <ds:schemaRef ds:uri="http://schemas.microsoft.com/sharepoint/v3/contenttype/forms"/>
  </ds:schemaRefs>
</ds:datastoreItem>
</file>

<file path=customXml/itemProps4.xml><?xml version="1.0" encoding="utf-8"?>
<ds:datastoreItem xmlns:ds="http://schemas.openxmlformats.org/officeDocument/2006/customXml" ds:itemID="{C538EEF0-0BDD-4A8B-BCA6-EA52543B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Staff report Template Fuel-Neutral Version 1.3</vt:lpstr>
    </vt:vector>
  </TitlesOfParts>
  <Company>MTC</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 Template Fuel-Neutral Version 1.3</dc:title>
  <dc:creator>Vijay Kesavan</dc:creator>
  <cp:lastModifiedBy>Misti Bruceri</cp:lastModifiedBy>
  <cp:revision>6</cp:revision>
  <cp:lastPrinted>2019-09-27T22:42:00Z</cp:lastPrinted>
  <dcterms:created xsi:type="dcterms:W3CDTF">2019-09-28T00:12:00Z</dcterms:created>
  <dcterms:modified xsi:type="dcterms:W3CDTF">2019-09-28T00:37:00Z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0x01010086666063C000674B914D98A3EA64001D</vt:lpwstr>
  </property>
</Properties>
</file>