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BBA18" w14:textId="77777777" w:rsidR="003777F5" w:rsidRDefault="003777F5" w:rsidP="003777F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B210F" wp14:editId="5B33B832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2522220" cy="1388110"/>
            <wp:effectExtent l="0" t="0" r="0" b="2540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F03BD" w14:textId="77777777" w:rsidR="003777F5" w:rsidRDefault="003777F5" w:rsidP="003777F5">
      <w:pPr>
        <w:spacing w:before="120" w:after="0"/>
        <w:ind w:left="360"/>
        <w:rPr>
          <w:sz w:val="28"/>
          <w:szCs w:val="28"/>
        </w:rPr>
      </w:pPr>
    </w:p>
    <w:p w14:paraId="418F236E" w14:textId="77777777" w:rsidR="003777F5" w:rsidRDefault="003777F5" w:rsidP="003777F5">
      <w:pPr>
        <w:spacing w:before="120" w:after="0"/>
        <w:ind w:left="360"/>
        <w:rPr>
          <w:sz w:val="28"/>
          <w:szCs w:val="28"/>
        </w:rPr>
      </w:pPr>
    </w:p>
    <w:p w14:paraId="2B4F0E86" w14:textId="77777777" w:rsidR="003777F5" w:rsidRPr="00351D71" w:rsidRDefault="003777F5" w:rsidP="003777F5">
      <w:pPr>
        <w:spacing w:before="120" w:after="0"/>
        <w:ind w:left="360"/>
        <w:rPr>
          <w:sz w:val="28"/>
          <w:szCs w:val="28"/>
        </w:rPr>
      </w:pPr>
      <w:r w:rsidRPr="00351D71">
        <w:rPr>
          <w:sz w:val="28"/>
          <w:szCs w:val="28"/>
        </w:rPr>
        <w:t>Please Note:</w:t>
      </w:r>
    </w:p>
    <w:p w14:paraId="12ED032C" w14:textId="77777777" w:rsidR="003777F5" w:rsidRDefault="003777F5" w:rsidP="003777F5">
      <w:pPr>
        <w:spacing w:before="120" w:after="0" w:line="300" w:lineRule="auto"/>
        <w:ind w:left="720" w:right="450"/>
        <w:rPr>
          <w:sz w:val="28"/>
          <w:szCs w:val="28"/>
        </w:rPr>
      </w:pPr>
      <w:r w:rsidRPr="00351D71">
        <w:rPr>
          <w:sz w:val="28"/>
          <w:szCs w:val="28"/>
        </w:rPr>
        <w:t>This template is intended for educational purposes only, without any express or implied warranty of any kind, including warranties of accuracy, completeness, or fitn</w:t>
      </w:r>
      <w:r>
        <w:rPr>
          <w:sz w:val="28"/>
          <w:szCs w:val="28"/>
        </w:rPr>
        <w:t>ess for any particular purpose.</w:t>
      </w:r>
      <w:r w:rsidRPr="00351D71">
        <w:rPr>
          <w:sz w:val="28"/>
          <w:szCs w:val="28"/>
        </w:rPr>
        <w:t xml:space="preserve">  </w:t>
      </w:r>
      <w:r w:rsidRPr="00351D71">
        <w:rPr>
          <w:sz w:val="28"/>
          <w:szCs w:val="28"/>
          <w:shd w:val="clear" w:color="auto" w:fill="FFFFFF"/>
        </w:rPr>
        <w:t xml:space="preserve">You agree that your use of </w:t>
      </w:r>
      <w:r>
        <w:rPr>
          <w:sz w:val="28"/>
          <w:szCs w:val="28"/>
          <w:shd w:val="clear" w:color="auto" w:fill="FFFFFF"/>
        </w:rPr>
        <w:t xml:space="preserve">the </w:t>
      </w:r>
      <w:r w:rsidRPr="00351D71">
        <w:rPr>
          <w:sz w:val="28"/>
          <w:szCs w:val="28"/>
          <w:shd w:val="clear" w:color="auto" w:fill="FFFFFF"/>
        </w:rPr>
        <w:t>template is without any recourse whatsoever to PG&amp;E, SCE, SDG&amp;E, or their affiliates.</w:t>
      </w:r>
      <w:r w:rsidRPr="00351D71">
        <w:rPr>
          <w:sz w:val="28"/>
          <w:szCs w:val="28"/>
        </w:rPr>
        <w:t xml:space="preserve"> The template is a draft, and anyone using this document should seek the advice of an attorney to develop appropriate ordinance language to meet its jurisdiction’s specific needs, as state and local laws may differ.</w:t>
      </w:r>
    </w:p>
    <w:p w14:paraId="299F7651" w14:textId="77777777" w:rsidR="003777F5" w:rsidRDefault="003777F5" w:rsidP="003777F5">
      <w:pPr>
        <w:spacing w:before="120" w:after="0" w:line="300" w:lineRule="auto"/>
        <w:ind w:left="720" w:right="720"/>
        <w:rPr>
          <w:sz w:val="28"/>
          <w:szCs w:val="28"/>
        </w:rPr>
      </w:pPr>
    </w:p>
    <w:p w14:paraId="658AD844" w14:textId="77777777" w:rsidR="003777F5" w:rsidRPr="00351D71" w:rsidRDefault="003777F5" w:rsidP="003777F5">
      <w:pPr>
        <w:spacing w:before="120" w:after="0" w:line="300" w:lineRule="auto"/>
        <w:ind w:left="720" w:right="720"/>
        <w:rPr>
          <w:sz w:val="28"/>
          <w:szCs w:val="28"/>
        </w:rPr>
      </w:pPr>
      <w:r>
        <w:rPr>
          <w:sz w:val="28"/>
          <w:szCs w:val="28"/>
        </w:rPr>
        <w:t xml:space="preserve">Please contact the Codes and Standards Reach Codes Team at </w:t>
      </w:r>
      <w:hyperlink r:id="rId12" w:history="1">
        <w:r w:rsidRPr="00BB2671">
          <w:rPr>
            <w:rStyle w:val="Hyperlink"/>
            <w:sz w:val="28"/>
            <w:szCs w:val="28"/>
          </w:rPr>
          <w:t>info@LocalEnergyCodes.com</w:t>
        </w:r>
      </w:hyperlink>
      <w:r>
        <w:rPr>
          <w:sz w:val="28"/>
          <w:szCs w:val="28"/>
        </w:rPr>
        <w:t xml:space="preserve"> for additional information.</w:t>
      </w:r>
    </w:p>
    <w:p w14:paraId="1A97968D" w14:textId="77777777" w:rsidR="003777F5" w:rsidRDefault="003777F5" w:rsidP="003777F5">
      <w:pPr>
        <w:spacing w:before="120" w:after="0"/>
        <w:rPr>
          <w:rFonts w:ascii="Open Sans" w:hAnsi="Open Sans"/>
          <w:color w:val="3E474C"/>
        </w:rPr>
      </w:pPr>
    </w:p>
    <w:p w14:paraId="44775DA3" w14:textId="77777777" w:rsidR="003777F5" w:rsidRDefault="003777F5" w:rsidP="003777F5">
      <w:pPr>
        <w:spacing w:before="120" w:after="0"/>
        <w:rPr>
          <w:rFonts w:ascii="Open Sans" w:hAnsi="Open Sans"/>
          <w:color w:val="3E474C"/>
        </w:rPr>
      </w:pPr>
    </w:p>
    <w:p w14:paraId="46480674" w14:textId="77777777" w:rsidR="003777F5" w:rsidRDefault="003777F5" w:rsidP="003777F5">
      <w:pPr>
        <w:spacing w:before="120" w:after="0"/>
        <w:rPr>
          <w:rFonts w:ascii="Open Sans" w:hAnsi="Open Sans"/>
          <w:color w:val="3E474C"/>
        </w:rPr>
      </w:pPr>
    </w:p>
    <w:p w14:paraId="542C6EB3" w14:textId="6F72904D" w:rsidR="003777F5" w:rsidRPr="00B354F9" w:rsidRDefault="004B6A4F" w:rsidP="003777F5">
      <w:pPr>
        <w:spacing w:before="120" w:after="0"/>
        <w:ind w:left="720" w:right="720"/>
        <w:jc w:val="center"/>
        <w:rPr>
          <w:rFonts w:ascii="Calibri" w:hAnsi="Calibri"/>
        </w:rPr>
      </w:pPr>
      <w:r w:rsidRPr="00B354F9">
        <w:t xml:space="preserve">Message paid for by customers. </w:t>
      </w:r>
      <w:r w:rsidR="003777F5" w:rsidRPr="00B354F9">
        <w:rPr>
          <w:rFonts w:ascii="Calibri" w:hAnsi="Calibri"/>
        </w:rPr>
        <w:t>This program is funded by California utility customers and administered by</w:t>
      </w:r>
      <w:r w:rsidRPr="00B354F9">
        <w:rPr>
          <w:rFonts w:ascii="Calibri" w:hAnsi="Calibri"/>
        </w:rPr>
        <w:t xml:space="preserve"> </w:t>
      </w:r>
      <w:r w:rsidR="003777F5" w:rsidRPr="00B354F9">
        <w:rPr>
          <w:rFonts w:ascii="Calibri" w:hAnsi="Calibri"/>
        </w:rPr>
        <w:t>Pacific Gas and Electric Company, San Diego Gas &amp; Electric Company (SDG&amp;E®), and Southern California Edison Company under the auspices of the California Public Utilities Commission and in support of the California Energy Commission.</w:t>
      </w:r>
    </w:p>
    <w:p w14:paraId="33549545" w14:textId="77777777" w:rsidR="003777F5" w:rsidRPr="00B354F9" w:rsidRDefault="003777F5" w:rsidP="003777F5">
      <w:pPr>
        <w:spacing w:before="120" w:after="0"/>
        <w:ind w:left="720" w:right="720"/>
        <w:jc w:val="center"/>
        <w:rPr>
          <w:rFonts w:ascii="Calibri" w:hAnsi="Calibri"/>
        </w:rPr>
      </w:pPr>
    </w:p>
    <w:p w14:paraId="479FABB5" w14:textId="77777777" w:rsidR="000C1E23" w:rsidRDefault="000C1E23" w:rsidP="003777F5">
      <w:pPr>
        <w:spacing w:before="120" w:after="0"/>
        <w:ind w:left="720" w:right="720"/>
        <w:jc w:val="center"/>
        <w:rPr>
          <w:rFonts w:ascii="Calibri" w:eastAsia="Calibri" w:hAnsi="Calibri" w:cs="Calibri"/>
          <w:color w:val="3E474C"/>
        </w:rPr>
        <w:sectPr w:rsidR="000C1E23" w:rsidSect="007E57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CF3CA0" w14:textId="4CE3CA23" w:rsidR="003777F5" w:rsidRPr="007439EE" w:rsidRDefault="003777F5" w:rsidP="003777F5">
      <w:pPr>
        <w:pStyle w:val="Title"/>
        <w:jc w:val="center"/>
        <w:rPr>
          <w:rFonts w:ascii="Arial" w:hAnsi="Arial"/>
        </w:rPr>
      </w:pPr>
      <w:r w:rsidRPr="007439EE">
        <w:rPr>
          <w:rFonts w:ascii="Arial" w:hAnsi="Arial"/>
        </w:rPr>
        <w:lastRenderedPageBreak/>
        <w:t>202</w:t>
      </w:r>
      <w:r w:rsidR="008E0FEB" w:rsidRPr="007439EE">
        <w:rPr>
          <w:rFonts w:ascii="Arial" w:hAnsi="Arial"/>
        </w:rPr>
        <w:t>5</w:t>
      </w:r>
      <w:r w:rsidRPr="007439EE">
        <w:rPr>
          <w:rFonts w:ascii="Arial" w:hAnsi="Arial"/>
        </w:rPr>
        <w:t xml:space="preserve"> Single Family </w:t>
      </w:r>
      <w:r w:rsidR="00303BEB" w:rsidRPr="007439EE">
        <w:rPr>
          <w:rFonts w:ascii="Arial" w:hAnsi="Arial"/>
        </w:rPr>
        <w:t>Flexible Compliance Pathway (</w:t>
      </w:r>
      <w:r w:rsidRPr="007439EE">
        <w:rPr>
          <w:rFonts w:ascii="Arial" w:hAnsi="Arial"/>
        </w:rPr>
        <w:t>FlexPath</w:t>
      </w:r>
      <w:r w:rsidR="00303BEB" w:rsidRPr="007439EE">
        <w:rPr>
          <w:rFonts w:ascii="Arial" w:hAnsi="Arial"/>
        </w:rPr>
        <w:t>)</w:t>
      </w:r>
      <w:r w:rsidRPr="007439EE">
        <w:rPr>
          <w:rFonts w:ascii="Arial" w:hAnsi="Arial"/>
        </w:rPr>
        <w:t xml:space="preserve"> Model Reach Code for Existing Buildings</w:t>
      </w:r>
    </w:p>
    <w:p w14:paraId="0A52F10B" w14:textId="731A23B3" w:rsidR="003777F5" w:rsidRPr="007439EE" w:rsidRDefault="003777F5" w:rsidP="003777F5">
      <w:pPr>
        <w:spacing w:after="0"/>
        <w:jc w:val="center"/>
        <w:rPr>
          <w:rFonts w:ascii="Arial" w:hAnsi="Arial"/>
          <w:b/>
          <w:color w:val="156082" w:themeColor="accent1"/>
          <w:sz w:val="32"/>
        </w:rPr>
      </w:pPr>
      <w:r w:rsidRPr="007439EE">
        <w:rPr>
          <w:rFonts w:ascii="Arial" w:hAnsi="Arial"/>
          <w:b/>
          <w:color w:val="156082" w:themeColor="accent1"/>
          <w:sz w:val="32"/>
        </w:rPr>
        <w:t>FAQs</w:t>
      </w:r>
    </w:p>
    <w:p w14:paraId="4718476F" w14:textId="2C11FF37" w:rsidR="001E593C" w:rsidRPr="007439EE" w:rsidRDefault="00CB27B8" w:rsidP="001D3503">
      <w:pPr>
        <w:jc w:val="center"/>
        <w:rPr>
          <w:rFonts w:ascii="Arial" w:hAnsi="Arial"/>
        </w:rPr>
      </w:pPr>
      <w:r w:rsidRPr="007439EE">
        <w:rPr>
          <w:rFonts w:ascii="Arial" w:hAnsi="Arial"/>
        </w:rPr>
        <w:t>May 202</w:t>
      </w:r>
      <w:r w:rsidR="008215FA" w:rsidRPr="007439EE">
        <w:rPr>
          <w:rFonts w:ascii="Arial" w:hAnsi="Arial"/>
        </w:rPr>
        <w:t>6</w:t>
      </w:r>
    </w:p>
    <w:p w14:paraId="4E9B9CEA" w14:textId="77777777" w:rsidR="00FC1FD4" w:rsidRPr="007439EE" w:rsidRDefault="00FC1FD4" w:rsidP="001D3503">
      <w:pPr>
        <w:jc w:val="center"/>
        <w:rPr>
          <w:rFonts w:ascii="Arial" w:hAnsi="Arial"/>
        </w:rPr>
      </w:pPr>
    </w:p>
    <w:p w14:paraId="170110A0" w14:textId="30099349" w:rsidR="00FC1FD4" w:rsidRPr="007439EE" w:rsidRDefault="00FC1FD4" w:rsidP="001D3503">
      <w:pPr>
        <w:jc w:val="center"/>
        <w:rPr>
          <w:rFonts w:ascii="Arial" w:hAnsi="Arial"/>
          <w:i/>
        </w:rPr>
      </w:pPr>
      <w:r w:rsidRPr="007439EE">
        <w:rPr>
          <w:rFonts w:ascii="Arial" w:hAnsi="Arial"/>
          <w:i/>
        </w:rPr>
        <w:t xml:space="preserve">This document is intended </w:t>
      </w:r>
      <w:r w:rsidR="00BC3691" w:rsidRPr="007439EE">
        <w:rPr>
          <w:rFonts w:ascii="Arial" w:hAnsi="Arial"/>
          <w:i/>
        </w:rPr>
        <w:t xml:space="preserve">to assist staff </w:t>
      </w:r>
      <w:r w:rsidR="00303BEB" w:rsidRPr="007439EE">
        <w:rPr>
          <w:rFonts w:ascii="Arial" w:hAnsi="Arial"/>
          <w:i/>
        </w:rPr>
        <w:t xml:space="preserve">develop and communicate the </w:t>
      </w:r>
      <w:r w:rsidR="00765938" w:rsidRPr="00A4257E">
        <w:rPr>
          <w:rFonts w:ascii="Arial" w:hAnsi="Arial" w:cs="Arial"/>
          <w:i/>
          <w:iCs/>
        </w:rPr>
        <w:br/>
      </w:r>
      <w:r w:rsidR="00303BEB" w:rsidRPr="007439EE">
        <w:rPr>
          <w:rFonts w:ascii="Arial" w:hAnsi="Arial"/>
          <w:i/>
        </w:rPr>
        <w:t>FlexPath policy</w:t>
      </w:r>
      <w:r w:rsidR="00991029" w:rsidRPr="00A4257E">
        <w:rPr>
          <w:rFonts w:ascii="Arial" w:hAnsi="Arial" w:cs="Arial"/>
          <w:i/>
          <w:iCs/>
        </w:rPr>
        <w:t xml:space="preserve"> requirements</w:t>
      </w:r>
      <w:r w:rsidR="00303BEB" w:rsidRPr="007439EE">
        <w:rPr>
          <w:rFonts w:ascii="Arial" w:hAnsi="Arial"/>
          <w:i/>
        </w:rPr>
        <w:t>.</w:t>
      </w:r>
      <w:r w:rsidR="00BC3691" w:rsidRPr="007439EE">
        <w:rPr>
          <w:rFonts w:ascii="Arial" w:hAnsi="Arial"/>
          <w:i/>
        </w:rPr>
        <w:t xml:space="preserve"> </w:t>
      </w:r>
    </w:p>
    <w:p w14:paraId="362A468B" w14:textId="77777777" w:rsidR="003777F5" w:rsidRPr="007439EE" w:rsidRDefault="003777F5" w:rsidP="003777F5">
      <w:pPr>
        <w:rPr>
          <w:rFonts w:ascii="Arial" w:hAnsi="Arial"/>
        </w:rPr>
      </w:pPr>
    </w:p>
    <w:p w14:paraId="65C4A089" w14:textId="070E723E" w:rsidR="00FC5B32" w:rsidRPr="007439EE" w:rsidRDefault="00FC5B32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Q. Does the policy comply with AB130 (2025)?</w:t>
      </w:r>
    </w:p>
    <w:p w14:paraId="57DA358D" w14:textId="7083D6B8" w:rsidR="00FC5B32" w:rsidRPr="007439EE" w:rsidRDefault="00FC5B32" w:rsidP="0078783A">
      <w:pPr>
        <w:pStyle w:val="ListParagraph"/>
        <w:ind w:hanging="360"/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A.</w:t>
      </w:r>
      <w:r w:rsidRPr="007439EE">
        <w:rPr>
          <w:rFonts w:ascii="Arial" w:hAnsi="Arial"/>
          <w:sz w:val="22"/>
        </w:rPr>
        <w:tab/>
      </w:r>
      <w:r w:rsidR="00B35CCD" w:rsidRPr="007439EE">
        <w:rPr>
          <w:rFonts w:ascii="Arial" w:hAnsi="Arial"/>
          <w:sz w:val="22"/>
        </w:rPr>
        <w:t>The policy meets a</w:t>
      </w:r>
      <w:r w:rsidR="00FD450C" w:rsidRPr="007439EE">
        <w:rPr>
          <w:rFonts w:ascii="Arial" w:hAnsi="Arial"/>
          <w:sz w:val="22"/>
        </w:rPr>
        <w:t>t</w:t>
      </w:r>
      <w:r w:rsidR="00B35CCD" w:rsidRPr="007439EE">
        <w:rPr>
          <w:rFonts w:ascii="Arial" w:hAnsi="Arial"/>
          <w:sz w:val="22"/>
        </w:rPr>
        <w:t xml:space="preserve"> least two of the c</w:t>
      </w:r>
      <w:r w:rsidR="002D3874" w:rsidRPr="007439EE">
        <w:rPr>
          <w:rFonts w:ascii="Arial" w:hAnsi="Arial"/>
          <w:sz w:val="22"/>
        </w:rPr>
        <w:t>onditions</w:t>
      </w:r>
      <w:r w:rsidR="00B35CCD" w:rsidRPr="007439EE">
        <w:rPr>
          <w:rFonts w:ascii="Arial" w:hAnsi="Arial"/>
          <w:sz w:val="22"/>
        </w:rPr>
        <w:t xml:space="preserve"> for AB130 exception number five, that is, it </w:t>
      </w:r>
      <w:r w:rsidR="00B35CCD" w:rsidRPr="00A4257E">
        <w:rPr>
          <w:rFonts w:ascii="Arial" w:hAnsi="Arial" w:cs="Arial"/>
          <w:sz w:val="22"/>
          <w:szCs w:val="22"/>
        </w:rPr>
        <w:t>incentiv</w:t>
      </w:r>
      <w:r w:rsidR="00ED1BE9" w:rsidRPr="00A4257E">
        <w:rPr>
          <w:rFonts w:ascii="Arial" w:hAnsi="Arial" w:cs="Arial"/>
          <w:sz w:val="22"/>
          <w:szCs w:val="22"/>
        </w:rPr>
        <w:t>iz</w:t>
      </w:r>
      <w:r w:rsidR="00B35CCD" w:rsidRPr="00A4257E">
        <w:rPr>
          <w:rFonts w:ascii="Arial" w:hAnsi="Arial" w:cs="Arial"/>
          <w:sz w:val="22"/>
          <w:szCs w:val="22"/>
        </w:rPr>
        <w:t>es</w:t>
      </w:r>
      <w:r w:rsidR="00B35CCD" w:rsidRPr="007439EE">
        <w:rPr>
          <w:rFonts w:ascii="Arial" w:hAnsi="Arial"/>
          <w:sz w:val="22"/>
        </w:rPr>
        <w:t xml:space="preserve"> electrification</w:t>
      </w:r>
      <w:r w:rsidR="00BD0C1D" w:rsidRPr="007439EE">
        <w:rPr>
          <w:rFonts w:ascii="Arial" w:hAnsi="Arial"/>
          <w:sz w:val="22"/>
        </w:rPr>
        <w:t xml:space="preserve"> (electric measures score well) but does not require electrification (there are other pathways to compliance). </w:t>
      </w:r>
      <w:r w:rsidR="002D3874" w:rsidRPr="007439EE">
        <w:rPr>
          <w:rFonts w:ascii="Arial" w:hAnsi="Arial"/>
          <w:sz w:val="22"/>
        </w:rPr>
        <w:t xml:space="preserve">There are other conditions </w:t>
      </w:r>
      <w:r w:rsidR="00D66A90" w:rsidRPr="007439EE">
        <w:rPr>
          <w:rFonts w:ascii="Arial" w:hAnsi="Arial"/>
          <w:sz w:val="22"/>
        </w:rPr>
        <w:t xml:space="preserve">that are necessary to qualify for this exception that are specific to the jurisdiction and its </w:t>
      </w:r>
      <w:r w:rsidR="0078783A" w:rsidRPr="007439EE">
        <w:rPr>
          <w:rFonts w:ascii="Arial" w:hAnsi="Arial"/>
          <w:sz w:val="22"/>
        </w:rPr>
        <w:t>general plan and c</w:t>
      </w:r>
      <w:r w:rsidR="00D66A90" w:rsidRPr="007439EE">
        <w:rPr>
          <w:rFonts w:ascii="Arial" w:hAnsi="Arial"/>
          <w:sz w:val="22"/>
        </w:rPr>
        <w:t xml:space="preserve">limate </w:t>
      </w:r>
      <w:r w:rsidR="0078783A" w:rsidRPr="007439EE">
        <w:rPr>
          <w:rFonts w:ascii="Arial" w:hAnsi="Arial"/>
          <w:sz w:val="22"/>
        </w:rPr>
        <w:t>a</w:t>
      </w:r>
      <w:r w:rsidR="00D66A90" w:rsidRPr="007439EE">
        <w:rPr>
          <w:rFonts w:ascii="Arial" w:hAnsi="Arial"/>
          <w:sz w:val="22"/>
        </w:rPr>
        <w:t xml:space="preserve">ction </w:t>
      </w:r>
      <w:r w:rsidR="0078783A" w:rsidRPr="007439EE">
        <w:rPr>
          <w:rFonts w:ascii="Arial" w:hAnsi="Arial"/>
          <w:sz w:val="22"/>
        </w:rPr>
        <w:t>p</w:t>
      </w:r>
      <w:r w:rsidR="00D66A90" w:rsidRPr="007439EE">
        <w:rPr>
          <w:rFonts w:ascii="Arial" w:hAnsi="Arial"/>
          <w:sz w:val="22"/>
        </w:rPr>
        <w:t>lan</w:t>
      </w:r>
      <w:r w:rsidR="0078783A" w:rsidRPr="007439EE">
        <w:rPr>
          <w:rFonts w:ascii="Arial" w:hAnsi="Arial"/>
          <w:sz w:val="22"/>
        </w:rPr>
        <w:t>.</w:t>
      </w:r>
      <w:r w:rsidR="00D66A90" w:rsidRPr="007439EE">
        <w:rPr>
          <w:rFonts w:ascii="Arial" w:hAnsi="Arial"/>
          <w:sz w:val="22"/>
        </w:rPr>
        <w:t xml:space="preserve"> </w:t>
      </w:r>
      <w:r w:rsidR="0031273A" w:rsidRPr="007439EE">
        <w:rPr>
          <w:rFonts w:ascii="Arial" w:hAnsi="Arial"/>
          <w:sz w:val="22"/>
        </w:rPr>
        <w:t xml:space="preserve">Consultation with legal counsel is </w:t>
      </w:r>
      <w:r w:rsidR="0079139C" w:rsidRPr="007439EE">
        <w:rPr>
          <w:rFonts w:ascii="Arial" w:hAnsi="Arial"/>
          <w:sz w:val="22"/>
        </w:rPr>
        <w:t>advised.</w:t>
      </w:r>
    </w:p>
    <w:p w14:paraId="7DA31CE1" w14:textId="77777777" w:rsidR="0031273A" w:rsidRPr="007439EE" w:rsidRDefault="0031273A" w:rsidP="009C71B6">
      <w:pPr>
        <w:pStyle w:val="ListParagraph"/>
        <w:ind w:hanging="360"/>
        <w:rPr>
          <w:rFonts w:ascii="Arial" w:hAnsi="Arial"/>
          <w:sz w:val="22"/>
        </w:rPr>
      </w:pPr>
    </w:p>
    <w:p w14:paraId="0EE11F09" w14:textId="5D3C1A2A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Q. What do the points represent?</w:t>
      </w:r>
    </w:p>
    <w:p w14:paraId="6D705C41" w14:textId="40AA438D" w:rsidR="003777F5" w:rsidRPr="007439EE" w:rsidRDefault="003777F5" w:rsidP="003777F5">
      <w:pPr>
        <w:pStyle w:val="ListParagraph"/>
        <w:numPr>
          <w:ilvl w:val="0"/>
          <w:numId w:val="11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The points in the </w:t>
      </w:r>
      <w:r w:rsidRPr="007439EE">
        <w:rPr>
          <w:rFonts w:ascii="Arial" w:hAnsi="Arial"/>
          <w:i/>
          <w:sz w:val="22"/>
        </w:rPr>
        <w:t>Measure Menu</w:t>
      </w:r>
      <w:r w:rsidRPr="007439EE">
        <w:rPr>
          <w:rFonts w:ascii="Arial" w:hAnsi="Arial"/>
          <w:sz w:val="22"/>
        </w:rPr>
        <w:t xml:space="preserve"> table represent the relative </w:t>
      </w:r>
      <w:r w:rsidRPr="007439EE">
        <w:rPr>
          <w:rFonts w:ascii="Arial" w:hAnsi="Arial"/>
          <w:b/>
          <w:sz w:val="22"/>
        </w:rPr>
        <w:t>site energy savings</w:t>
      </w:r>
      <w:r w:rsidRPr="007439EE">
        <w:rPr>
          <w:rFonts w:ascii="Arial" w:hAnsi="Arial"/>
          <w:sz w:val="22"/>
        </w:rPr>
        <w:t xml:space="preserve"> attributable to each measure. Thus, a measure with 4 points would provide twice as much savings as a measure with only 2 points. </w:t>
      </w:r>
    </w:p>
    <w:p w14:paraId="0A902E77" w14:textId="33C95951" w:rsidR="003777F5" w:rsidRPr="007439EE" w:rsidRDefault="003777F5" w:rsidP="003777F5">
      <w:pPr>
        <w:ind w:left="720"/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The </w:t>
      </w:r>
      <w:r w:rsidRPr="007439EE">
        <w:rPr>
          <w:rFonts w:ascii="Arial" w:hAnsi="Arial"/>
          <w:i/>
          <w:sz w:val="22"/>
        </w:rPr>
        <w:t>Target Score</w:t>
      </w:r>
      <w:r w:rsidRPr="007439EE">
        <w:rPr>
          <w:rFonts w:ascii="Arial" w:hAnsi="Arial"/>
          <w:sz w:val="22"/>
        </w:rPr>
        <w:t xml:space="preserve"> represents a </w:t>
      </w:r>
      <w:r w:rsidR="00042E58" w:rsidRPr="007439EE">
        <w:rPr>
          <w:rFonts w:ascii="Arial" w:hAnsi="Arial"/>
          <w:sz w:val="22"/>
        </w:rPr>
        <w:t>value, defined by the jurisdiction,</w:t>
      </w:r>
      <w:r w:rsidRPr="007439EE">
        <w:rPr>
          <w:rFonts w:ascii="Arial" w:hAnsi="Arial"/>
          <w:sz w:val="22"/>
        </w:rPr>
        <w:t xml:space="preserve"> (see below) </w:t>
      </w:r>
      <w:r w:rsidR="000859E4" w:rsidRPr="007439EE">
        <w:rPr>
          <w:rFonts w:ascii="Arial" w:hAnsi="Arial"/>
          <w:sz w:val="22"/>
        </w:rPr>
        <w:t xml:space="preserve">that is </w:t>
      </w:r>
      <w:r w:rsidR="00114DB7" w:rsidRPr="007439EE">
        <w:rPr>
          <w:rFonts w:ascii="Arial" w:hAnsi="Arial"/>
          <w:sz w:val="22"/>
        </w:rPr>
        <w:t xml:space="preserve">no greater than </w:t>
      </w:r>
      <w:r w:rsidRPr="007439EE">
        <w:rPr>
          <w:rFonts w:ascii="Arial" w:hAnsi="Arial"/>
          <w:sz w:val="22"/>
        </w:rPr>
        <w:t>the maximum cost-effective site energy savings, (the sum of points from all retrofit measures that have been found to be cost-effective). Thus, in the Cost-Effectiveness Explorer if the Target Score is set at 50% of the maximum score, the required measures</w:t>
      </w:r>
      <w:r w:rsidRPr="007439EE" w:rsidDel="00BB1B0B">
        <w:rPr>
          <w:rFonts w:ascii="Arial" w:hAnsi="Arial"/>
          <w:sz w:val="22"/>
        </w:rPr>
        <w:t xml:space="preserve"> </w:t>
      </w:r>
      <w:r w:rsidRPr="007439EE">
        <w:rPr>
          <w:rFonts w:ascii="Arial" w:hAnsi="Arial"/>
          <w:sz w:val="22"/>
        </w:rPr>
        <w:t>would save about 50% as much energy as the energy savings attributable to installing all cost-effective measures.</w:t>
      </w:r>
    </w:p>
    <w:p w14:paraId="585340A7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 </w:t>
      </w:r>
    </w:p>
    <w:p w14:paraId="0CE43411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Q. How are the </w:t>
      </w:r>
      <w:r w:rsidRPr="007439EE">
        <w:rPr>
          <w:rFonts w:ascii="Arial" w:hAnsi="Arial"/>
          <w:i/>
          <w:sz w:val="22"/>
        </w:rPr>
        <w:t>Target Score</w:t>
      </w:r>
      <w:r w:rsidRPr="007439EE">
        <w:rPr>
          <w:rFonts w:ascii="Arial" w:hAnsi="Arial"/>
          <w:sz w:val="22"/>
        </w:rPr>
        <w:t xml:space="preserve"> and Measure Points calculated?</w:t>
      </w:r>
    </w:p>
    <w:p w14:paraId="29AE2B25" w14:textId="284B9C7C" w:rsidR="003777F5" w:rsidRPr="007439EE" w:rsidRDefault="003777F5" w:rsidP="003777F5">
      <w:pPr>
        <w:pStyle w:val="ListParagraph"/>
        <w:numPr>
          <w:ilvl w:val="0"/>
          <w:numId w:val="10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The Cost-Effectiveness Explorer calculates the Maximum </w:t>
      </w:r>
      <w:r w:rsidRPr="007439EE">
        <w:rPr>
          <w:rFonts w:ascii="Arial" w:hAnsi="Arial"/>
          <w:i/>
          <w:sz w:val="22"/>
        </w:rPr>
        <w:t>Target Score</w:t>
      </w:r>
      <w:r w:rsidRPr="007439EE">
        <w:rPr>
          <w:rFonts w:ascii="Arial" w:hAnsi="Arial"/>
          <w:sz w:val="22"/>
        </w:rPr>
        <w:t xml:space="preserve"> and the points tables, which are available for export. The user (i.e., staff developing the policy) sets the required </w:t>
      </w:r>
      <w:r w:rsidRPr="007439EE">
        <w:rPr>
          <w:rFonts w:ascii="Arial" w:hAnsi="Arial"/>
          <w:i/>
          <w:sz w:val="22"/>
        </w:rPr>
        <w:t>Target Score</w:t>
      </w:r>
      <w:r w:rsidRPr="007439EE">
        <w:rPr>
          <w:rFonts w:ascii="Arial" w:hAnsi="Arial"/>
          <w:sz w:val="22"/>
        </w:rPr>
        <w:t xml:space="preserve"> in the Cost Effectiveness Explorer.</w:t>
      </w:r>
    </w:p>
    <w:p w14:paraId="19BA0269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 </w:t>
      </w:r>
    </w:p>
    <w:p w14:paraId="0FFB3311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Q. What is considered cost-effective?</w:t>
      </w:r>
    </w:p>
    <w:p w14:paraId="32E2BA24" w14:textId="424EE820" w:rsidR="003777F5" w:rsidRPr="007439EE" w:rsidRDefault="003777F5" w:rsidP="003777F5">
      <w:pPr>
        <w:pStyle w:val="ListParagraph"/>
        <w:numPr>
          <w:ilvl w:val="0"/>
          <w:numId w:val="9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Cost-effectiveness assumes that the bill payer will accrue a positive net-present-value from the measure. For the scope of this policy, the cost is assumed to be the full retrofit cost and is not contingent upon </w:t>
      </w:r>
      <w:r w:rsidR="00B20DA1" w:rsidRPr="007439EE">
        <w:rPr>
          <w:rFonts w:ascii="Arial" w:hAnsi="Arial"/>
          <w:sz w:val="22"/>
        </w:rPr>
        <w:t xml:space="preserve">being part of </w:t>
      </w:r>
      <w:r w:rsidRPr="007439EE">
        <w:rPr>
          <w:rFonts w:ascii="Arial" w:hAnsi="Arial"/>
          <w:sz w:val="22"/>
        </w:rPr>
        <w:t xml:space="preserve">a </w:t>
      </w:r>
      <w:r w:rsidR="00B20DA1" w:rsidRPr="007439EE">
        <w:rPr>
          <w:rFonts w:ascii="Arial" w:hAnsi="Arial"/>
          <w:sz w:val="22"/>
        </w:rPr>
        <w:t xml:space="preserve">larger </w:t>
      </w:r>
      <w:r w:rsidRPr="007439EE">
        <w:rPr>
          <w:rFonts w:ascii="Arial" w:hAnsi="Arial"/>
          <w:sz w:val="22"/>
        </w:rPr>
        <w:t xml:space="preserve">project. Measures that are only cost-effective during replacements (e.g., </w:t>
      </w:r>
      <w:r w:rsidR="00FC17EE" w:rsidRPr="007439EE">
        <w:rPr>
          <w:rFonts w:ascii="Arial" w:hAnsi="Arial"/>
          <w:sz w:val="22"/>
        </w:rPr>
        <w:t xml:space="preserve">appliances and </w:t>
      </w:r>
      <w:r w:rsidRPr="007439EE">
        <w:rPr>
          <w:rFonts w:ascii="Arial" w:hAnsi="Arial"/>
          <w:sz w:val="22"/>
        </w:rPr>
        <w:t>cool roofs) are not part of the set of measures used to establish the cost-effective ceiling.</w:t>
      </w:r>
    </w:p>
    <w:p w14:paraId="3F0BBBF0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lastRenderedPageBreak/>
        <w:t xml:space="preserve"> </w:t>
      </w:r>
    </w:p>
    <w:p w14:paraId="4035BD41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Q. Could points be based on GHG reductions?</w:t>
      </w:r>
    </w:p>
    <w:p w14:paraId="68AA42FF" w14:textId="20F7E192" w:rsidR="003777F5" w:rsidRPr="007439EE" w:rsidRDefault="003777F5" w:rsidP="003777F5">
      <w:pPr>
        <w:pStyle w:val="ListParagraph"/>
        <w:numPr>
          <w:ilvl w:val="0"/>
          <w:numId w:val="8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Federal regulations</w:t>
      </w:r>
      <w:r w:rsidR="00F66A63" w:rsidRPr="007439EE">
        <w:rPr>
          <w:rStyle w:val="FootnoteReference"/>
          <w:rFonts w:ascii="Arial" w:hAnsi="Arial"/>
          <w:sz w:val="22"/>
        </w:rPr>
        <w:footnoteReference w:id="2"/>
      </w:r>
      <w:r w:rsidRPr="007439EE">
        <w:rPr>
          <w:rFonts w:ascii="Arial" w:hAnsi="Arial"/>
          <w:sz w:val="22"/>
        </w:rPr>
        <w:t xml:space="preserve"> require </w:t>
      </w:r>
      <w:r w:rsidR="001E593C" w:rsidRPr="007439EE">
        <w:rPr>
          <w:rFonts w:ascii="Arial" w:hAnsi="Arial"/>
          <w:sz w:val="22"/>
        </w:rPr>
        <w:t xml:space="preserve">that, among other things, </w:t>
      </w:r>
      <w:r w:rsidRPr="007439EE">
        <w:rPr>
          <w:rFonts w:ascii="Arial" w:hAnsi="Arial"/>
          <w:sz w:val="22"/>
        </w:rPr>
        <w:t xml:space="preserve">local and state standards be based on energy or </w:t>
      </w:r>
      <w:r w:rsidR="008B6053" w:rsidRPr="007439EE">
        <w:rPr>
          <w:rFonts w:ascii="Arial" w:hAnsi="Arial"/>
          <w:sz w:val="22"/>
        </w:rPr>
        <w:t xml:space="preserve">its equivalent </w:t>
      </w:r>
      <w:r w:rsidRPr="007439EE">
        <w:rPr>
          <w:rFonts w:ascii="Arial" w:hAnsi="Arial"/>
          <w:sz w:val="22"/>
        </w:rPr>
        <w:t xml:space="preserve">energy cost savings. Site energy savings are generally proportionate to GHG emissions reductions. </w:t>
      </w:r>
    </w:p>
    <w:p w14:paraId="66D92F6A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 </w:t>
      </w:r>
    </w:p>
    <w:p w14:paraId="34FCDC3C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Q. Why </w:t>
      </w:r>
      <w:proofErr w:type="gramStart"/>
      <w:r w:rsidRPr="007439EE">
        <w:rPr>
          <w:rFonts w:ascii="Arial" w:hAnsi="Arial"/>
          <w:sz w:val="22"/>
        </w:rPr>
        <w:t>are</w:t>
      </w:r>
      <w:proofErr w:type="gramEnd"/>
      <w:r w:rsidRPr="007439EE">
        <w:rPr>
          <w:rFonts w:ascii="Arial" w:hAnsi="Arial"/>
          <w:sz w:val="22"/>
        </w:rPr>
        <w:t xml:space="preserve"> some measures </w:t>
      </w:r>
      <w:bookmarkStart w:id="0" w:name="_Int_1X5g6uD8"/>
      <w:r w:rsidRPr="007439EE">
        <w:rPr>
          <w:rFonts w:ascii="Arial" w:hAnsi="Arial"/>
          <w:sz w:val="22"/>
        </w:rPr>
        <w:t>mandatory</w:t>
      </w:r>
      <w:bookmarkEnd w:id="0"/>
      <w:r w:rsidRPr="007439EE">
        <w:rPr>
          <w:rFonts w:ascii="Arial" w:hAnsi="Arial"/>
          <w:sz w:val="22"/>
        </w:rPr>
        <w:t>?</w:t>
      </w:r>
    </w:p>
    <w:p w14:paraId="6399C4C2" w14:textId="1CEFA62F" w:rsidR="003777F5" w:rsidRPr="007439EE" w:rsidRDefault="003777F5" w:rsidP="003777F5">
      <w:pPr>
        <w:pStyle w:val="ListParagraph"/>
        <w:numPr>
          <w:ilvl w:val="0"/>
          <w:numId w:val="7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Cost-effective measures with very low costs and small savings (i.e., lighting) are recommended to be mandatory to prevent </w:t>
      </w:r>
      <w:r w:rsidR="006B7DCA">
        <w:rPr>
          <w:rFonts w:ascii="Arial" w:hAnsi="Arial"/>
          <w:sz w:val="22"/>
        </w:rPr>
        <w:t>selective adoption</w:t>
      </w:r>
      <w:r w:rsidR="00FD0D1C">
        <w:rPr>
          <w:rFonts w:ascii="Arial" w:hAnsi="Arial"/>
          <w:sz w:val="22"/>
        </w:rPr>
        <w:t xml:space="preserve"> or bypassing the </w:t>
      </w:r>
      <w:r w:rsidR="00DB3F5A">
        <w:rPr>
          <w:rFonts w:ascii="Arial" w:hAnsi="Arial"/>
          <w:sz w:val="22"/>
        </w:rPr>
        <w:t>requirement</w:t>
      </w:r>
      <w:r w:rsidR="00E13785">
        <w:rPr>
          <w:rFonts w:ascii="Arial" w:hAnsi="Arial"/>
          <w:sz w:val="22"/>
        </w:rPr>
        <w:t>s</w:t>
      </w:r>
      <w:r w:rsidRPr="007439EE">
        <w:rPr>
          <w:rFonts w:ascii="Arial" w:hAnsi="Arial"/>
          <w:sz w:val="22"/>
        </w:rPr>
        <w:t>.</w:t>
      </w:r>
    </w:p>
    <w:p w14:paraId="1D1E33F3" w14:textId="536CCE85" w:rsidR="003777F5" w:rsidRPr="007439EE" w:rsidRDefault="003777F5" w:rsidP="003777F5">
      <w:pPr>
        <w:ind w:left="720"/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Electric readiness</w:t>
      </w:r>
      <w:r w:rsidR="00552D5E" w:rsidRPr="00A4257E">
        <w:rPr>
          <w:rFonts w:ascii="Arial" w:eastAsia="Calibri" w:hAnsi="Arial" w:cs="Arial"/>
          <w:sz w:val="22"/>
          <w:szCs w:val="22"/>
        </w:rPr>
        <w:t>, if included,</w:t>
      </w:r>
      <w:r w:rsidRPr="007439EE">
        <w:rPr>
          <w:rFonts w:ascii="Arial" w:hAnsi="Arial"/>
          <w:sz w:val="22"/>
        </w:rPr>
        <w:t xml:space="preserve"> is presented as mandatory because there are no directly attributable energy savings and therefore it cannot be scored relative to the other measures.  </w:t>
      </w:r>
    </w:p>
    <w:p w14:paraId="2ABBB337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 </w:t>
      </w:r>
    </w:p>
    <w:p w14:paraId="7DD718D2" w14:textId="77777777" w:rsidR="003777F5" w:rsidRPr="007439EE" w:rsidRDefault="003777F5" w:rsidP="003777F5">
      <w:p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Q. How can I tell how much compliance might cost?</w:t>
      </w:r>
    </w:p>
    <w:p w14:paraId="3FE03A4F" w14:textId="1A234140" w:rsidR="003777F5" w:rsidRPr="007439EE" w:rsidRDefault="003777F5" w:rsidP="003777F5">
      <w:pPr>
        <w:pStyle w:val="ListParagraph"/>
        <w:numPr>
          <w:ilvl w:val="0"/>
          <w:numId w:val="6"/>
        </w:numPr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>The cost of compliance will vary based on a) the Target Score, b) the scope of project, c) the existing conditions of the home</w:t>
      </w:r>
      <w:r w:rsidR="002D2278" w:rsidRPr="007439EE">
        <w:rPr>
          <w:rFonts w:ascii="Arial" w:hAnsi="Arial"/>
          <w:sz w:val="22"/>
        </w:rPr>
        <w:t xml:space="preserve">, </w:t>
      </w:r>
      <w:r w:rsidR="00000281" w:rsidRPr="007439EE">
        <w:rPr>
          <w:rFonts w:ascii="Arial" w:hAnsi="Arial"/>
          <w:sz w:val="22"/>
        </w:rPr>
        <w:t xml:space="preserve">d) </w:t>
      </w:r>
      <w:r w:rsidR="002D2278" w:rsidRPr="007439EE">
        <w:rPr>
          <w:rFonts w:ascii="Arial" w:hAnsi="Arial"/>
          <w:sz w:val="22"/>
        </w:rPr>
        <w:t>measure selection,</w:t>
      </w:r>
      <w:r w:rsidRPr="007439EE">
        <w:rPr>
          <w:rFonts w:ascii="Arial" w:hAnsi="Arial"/>
          <w:sz w:val="22"/>
        </w:rPr>
        <w:t xml:space="preserve"> and </w:t>
      </w:r>
      <w:r w:rsidR="00000281" w:rsidRPr="007439EE">
        <w:rPr>
          <w:rFonts w:ascii="Arial" w:hAnsi="Arial"/>
          <w:sz w:val="22"/>
        </w:rPr>
        <w:t>e</w:t>
      </w:r>
      <w:r w:rsidRPr="007439EE">
        <w:rPr>
          <w:rFonts w:ascii="Arial" w:hAnsi="Arial"/>
          <w:sz w:val="22"/>
        </w:rPr>
        <w:t xml:space="preserve">) market conditions.  By adjusting the Target Score in the Cost Effectiveness Explorer, the user alters the measure combinations that satisfy the requirements.  </w:t>
      </w:r>
    </w:p>
    <w:p w14:paraId="3ACD9C3D" w14:textId="65D87465" w:rsidR="002D40BB" w:rsidRPr="00CC579F" w:rsidRDefault="003777F5" w:rsidP="002D40BB">
      <w:pPr>
        <w:ind w:left="720"/>
        <w:rPr>
          <w:rFonts w:ascii="Arial" w:hAnsi="Arial"/>
          <w:sz w:val="22"/>
        </w:rPr>
      </w:pPr>
      <w:r w:rsidRPr="007439EE">
        <w:rPr>
          <w:rFonts w:ascii="Arial" w:hAnsi="Arial"/>
          <w:sz w:val="22"/>
        </w:rPr>
        <w:t xml:space="preserve">Typical initial measure costs, as reported in the cost-effectiveness study, are presented </w:t>
      </w:r>
      <w:r w:rsidR="00A4257E" w:rsidRPr="00A4257E">
        <w:rPr>
          <w:rFonts w:ascii="Arial" w:eastAsia="Calibri" w:hAnsi="Arial" w:cs="Arial"/>
          <w:sz w:val="22"/>
          <w:szCs w:val="22"/>
        </w:rPr>
        <w:t xml:space="preserve">in Table 1 </w:t>
      </w:r>
      <w:r w:rsidRPr="00CC579F">
        <w:rPr>
          <w:rFonts w:ascii="Arial" w:hAnsi="Arial"/>
          <w:sz w:val="22"/>
        </w:rPr>
        <w:t xml:space="preserve">below. </w:t>
      </w:r>
      <w:r w:rsidR="005D1E04" w:rsidRPr="00CC579F">
        <w:rPr>
          <w:rFonts w:ascii="Arial" w:hAnsi="Arial"/>
          <w:sz w:val="22"/>
        </w:rPr>
        <w:t xml:space="preserve">Costs may vary by climate zone. </w:t>
      </w:r>
      <w:r w:rsidR="002D40BB" w:rsidRPr="00CC579F">
        <w:rPr>
          <w:rFonts w:ascii="Arial" w:hAnsi="Arial"/>
          <w:sz w:val="22"/>
        </w:rPr>
        <w:t xml:space="preserve">In addition to the information in the table, the Cost Effectiveness Explorer produces an estimate of the typical compliance costs for a range of </w:t>
      </w:r>
      <w:r w:rsidR="002D40BB" w:rsidRPr="00CC579F">
        <w:rPr>
          <w:rFonts w:ascii="Arial" w:hAnsi="Arial"/>
          <w:i/>
          <w:sz w:val="22"/>
        </w:rPr>
        <w:t xml:space="preserve">Target Scores </w:t>
      </w:r>
      <w:r w:rsidR="002D40BB" w:rsidRPr="00CC579F">
        <w:rPr>
          <w:rFonts w:ascii="Arial" w:hAnsi="Arial"/>
          <w:sz w:val="22"/>
        </w:rPr>
        <w:t>specific to each climate zone and vintage.</w:t>
      </w:r>
    </w:p>
    <w:p w14:paraId="1829B282" w14:textId="7CEF9398" w:rsidR="003777F5" w:rsidRPr="00CC579F" w:rsidRDefault="003777F5" w:rsidP="003777F5">
      <w:pPr>
        <w:ind w:left="720"/>
        <w:rPr>
          <w:rFonts w:ascii="Arial" w:hAnsi="Arial"/>
          <w:sz w:val="22"/>
        </w:rPr>
      </w:pPr>
    </w:p>
    <w:p w14:paraId="24157F25" w14:textId="5565E807" w:rsidR="00F803BB" w:rsidRPr="00A4257E" w:rsidRDefault="00A4257E" w:rsidP="000826C8">
      <w:pPr>
        <w:keepNext/>
        <w:jc w:val="center"/>
        <w:rPr>
          <w:rFonts w:ascii="Arial" w:eastAsia="Calibri" w:hAnsi="Arial" w:cs="Arial"/>
        </w:rPr>
      </w:pPr>
      <w:r w:rsidRPr="00A4257E">
        <w:rPr>
          <w:rFonts w:ascii="Arial" w:eastAsia="Times New Roman" w:hAnsi="Arial" w:cs="Arial"/>
          <w:b/>
          <w:bCs/>
          <w:color w:val="000000"/>
        </w:rPr>
        <w:lastRenderedPageBreak/>
        <w:t xml:space="preserve">Table 1: Typical Measure Costs – </w:t>
      </w:r>
      <w:r w:rsidR="008B09AA">
        <w:rPr>
          <w:rFonts w:ascii="Arial" w:eastAsia="Times New Roman" w:hAnsi="Arial" w:cs="Arial"/>
          <w:b/>
          <w:bCs/>
          <w:color w:val="000000"/>
        </w:rPr>
        <w:t>1,6</w:t>
      </w:r>
      <w:r w:rsidR="00F25585">
        <w:rPr>
          <w:rFonts w:ascii="Arial" w:eastAsia="Times New Roman" w:hAnsi="Arial" w:cs="Arial"/>
          <w:b/>
          <w:bCs/>
          <w:color w:val="000000"/>
        </w:rPr>
        <w:t>65</w:t>
      </w:r>
      <w:r w:rsidRPr="00A4257E">
        <w:rPr>
          <w:rFonts w:ascii="Arial" w:eastAsia="Times New Roman" w:hAnsi="Arial" w:cs="Arial"/>
          <w:b/>
          <w:bCs/>
          <w:color w:val="000000"/>
        </w:rPr>
        <w:t xml:space="preserve"> Sq. Ft. Home ($)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1641"/>
        <w:gridCol w:w="1641"/>
        <w:gridCol w:w="1608"/>
      </w:tblGrid>
      <w:tr w:rsidR="00CC579F" w:rsidRPr="00A4257E" w14:paraId="6148E7FE" w14:textId="77777777" w:rsidTr="00732349">
        <w:trPr>
          <w:cantSplit/>
          <w:trHeight w:val="359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F5A7E5F" w14:textId="77777777" w:rsidR="00CC579F" w:rsidRPr="00CC579F" w:rsidRDefault="00CC579F" w:rsidP="00A4257E">
            <w:pPr>
              <w:spacing w:after="0"/>
              <w:rPr>
                <w:rFonts w:ascii="Arial" w:hAnsi="Arial"/>
                <w:b/>
                <w:sz w:val="22"/>
              </w:rPr>
            </w:pPr>
            <w:r w:rsidRPr="00A4257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Measure Name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D5E8" w14:textId="77777777" w:rsidR="00CC579F" w:rsidRPr="00CC579F" w:rsidRDefault="00CC579F" w:rsidP="00A4257E">
            <w:pPr>
              <w:spacing w:after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CC579F">
              <w:rPr>
                <w:rFonts w:ascii="Arial" w:hAnsi="Arial"/>
                <w:b/>
                <w:color w:val="000000"/>
                <w:sz w:val="22"/>
              </w:rPr>
              <w:t>Pre-1978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7C" w14:textId="77777777" w:rsidR="00CC579F" w:rsidRPr="00CC579F" w:rsidRDefault="00CC579F" w:rsidP="00A4257E">
            <w:pPr>
              <w:spacing w:after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CC579F">
              <w:rPr>
                <w:rFonts w:ascii="Arial" w:hAnsi="Arial"/>
                <w:b/>
                <w:color w:val="000000"/>
                <w:sz w:val="22"/>
              </w:rPr>
              <w:t>1978-1991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4C6EF0" w14:textId="77777777" w:rsidR="00CC579F" w:rsidRPr="00CC579F" w:rsidRDefault="00CC579F" w:rsidP="00A4257E">
            <w:pPr>
              <w:spacing w:after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CC579F">
              <w:rPr>
                <w:rFonts w:ascii="Arial" w:hAnsi="Arial"/>
                <w:b/>
                <w:color w:val="000000"/>
                <w:sz w:val="22"/>
              </w:rPr>
              <w:t>1992-2010</w:t>
            </w:r>
          </w:p>
        </w:tc>
      </w:tr>
      <w:tr w:rsidR="00CC579F" w:rsidRPr="00A4257E" w14:paraId="29BEA6DC" w14:textId="77777777" w:rsidTr="000A1C57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061DB312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Lighting Measures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7C9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E93B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DB224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100</w:t>
            </w:r>
          </w:p>
        </w:tc>
      </w:tr>
      <w:tr w:rsidR="00CC579F" w:rsidRPr="00A4257E" w14:paraId="38C75A54" w14:textId="77777777" w:rsidTr="00A43256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FC5C6B9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Water Heating Package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78B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6963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238D16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300</w:t>
            </w:r>
          </w:p>
        </w:tc>
      </w:tr>
      <w:tr w:rsidR="00CC579F" w:rsidRPr="00A4257E" w14:paraId="2176C5CD" w14:textId="77777777" w:rsidTr="004904A7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4B8AE17D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Air sealing (whole home)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460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A800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39F4F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</w:tr>
      <w:tr w:rsidR="00CC579F" w:rsidRPr="00A4257E" w14:paraId="6EF02838" w14:textId="77777777" w:rsidTr="00C90657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</w:tcPr>
          <w:p w14:paraId="393CB602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Air sealing (ceiling plane only)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1F31FB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CD606B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</w:tcPr>
          <w:p w14:paraId="1DF8DAD7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</w:t>
            </w:r>
          </w:p>
        </w:tc>
      </w:tr>
      <w:tr w:rsidR="00CC579F" w:rsidRPr="00A4257E" w14:paraId="54116C0D" w14:textId="77777777" w:rsidTr="0099005F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3582DC3F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R-38 Attic insulation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2A8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6,800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C454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2,600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DF6ACF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2,600</w:t>
            </w:r>
          </w:p>
        </w:tc>
      </w:tr>
      <w:tr w:rsidR="00CC579F" w:rsidRPr="00A4257E" w14:paraId="120680CD" w14:textId="77777777" w:rsidTr="002A063A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607A607B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R-49 Attic insulation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384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7,500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133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3,700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10292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3,700</w:t>
            </w:r>
          </w:p>
        </w:tc>
      </w:tr>
      <w:tr w:rsidR="00CC579F" w:rsidRPr="00A4257E" w14:paraId="1E3ECA66" w14:textId="77777777" w:rsidTr="00B43373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3F1C49A1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Duct sealing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687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2,600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D2A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2,600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0A612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2,600</w:t>
            </w:r>
          </w:p>
        </w:tc>
      </w:tr>
      <w:tr w:rsidR="00CC579F" w:rsidRPr="00A4257E" w14:paraId="65D2BD21" w14:textId="77777777" w:rsidTr="003965D3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0C125759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New ducts, R-6 insulation + duct sealing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9A2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4,900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48BD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4,900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F3460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4,900</w:t>
            </w:r>
          </w:p>
        </w:tc>
      </w:tr>
      <w:tr w:rsidR="00CC579F" w:rsidRPr="00A4257E" w14:paraId="0145023B" w14:textId="77777777" w:rsidTr="00963219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7A9E3F4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New ducts, R-8 insulation + duct sealing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CC80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6,400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219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6,400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A8940F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6,400</w:t>
            </w:r>
          </w:p>
        </w:tc>
      </w:tr>
      <w:tr w:rsidR="00CC579F" w:rsidRPr="00A4257E" w14:paraId="24FB2BA8" w14:textId="77777777" w:rsidTr="004B23EF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010E0141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Windows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CA3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11,900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A0C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11,900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DAE11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11,900</w:t>
            </w:r>
          </w:p>
        </w:tc>
      </w:tr>
      <w:tr w:rsidR="00CC579F" w:rsidRPr="00A4257E" w14:paraId="68D5385D" w14:textId="77777777" w:rsidTr="004F76C1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6F40A6DE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Wall Insulation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7AA7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10A4" w14:textId="71010591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BF315A" w14:textId="748B3423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CC579F" w:rsidRPr="00A4257E" w14:paraId="53813E0E" w14:textId="77777777" w:rsidTr="00EB7FF5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5976146A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R-19 Raised Floor Insulation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039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3,700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C27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3,700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9B510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3,700</w:t>
            </w:r>
          </w:p>
        </w:tc>
      </w:tr>
      <w:tr w:rsidR="00CC579F" w:rsidRPr="00A4257E" w14:paraId="436EA797" w14:textId="77777777" w:rsidTr="00AF3A1B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36E6007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R-30 Raised Floor Insulation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BEF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4,200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DC13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4,200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DFB6A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4,200</w:t>
            </w:r>
          </w:p>
        </w:tc>
      </w:tr>
      <w:tr w:rsidR="00CC579F" w:rsidRPr="00A4257E" w14:paraId="548C035E" w14:textId="77777777" w:rsidTr="00010BF6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0D024501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Cool roof .20 Solar Reflectance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FA33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5144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7E7644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</w:tr>
      <w:tr w:rsidR="00CC579F" w:rsidRPr="00A4257E" w14:paraId="35EC8344" w14:textId="77777777" w:rsidTr="00C70456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5923010C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Cool roof .25 Solar Reflectance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1AB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1,800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2498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1,800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EA9897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1,800</w:t>
            </w:r>
          </w:p>
        </w:tc>
      </w:tr>
      <w:tr w:rsidR="00CC579F" w:rsidRPr="00A4257E" w14:paraId="1EBD3D02" w14:textId="77777777" w:rsidTr="00D8194B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6236D2A4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Radiant barrier under roof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CABF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F42D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ED46A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900</w:t>
            </w:r>
          </w:p>
        </w:tc>
      </w:tr>
      <w:tr w:rsidR="00CC579F" w:rsidRPr="00A4257E" w14:paraId="1347041E" w14:textId="77777777" w:rsidTr="006F7557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5F85C4AA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Heat pump water heater replacing gas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A9A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4,400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536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4,400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E44C1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4,400</w:t>
            </w:r>
          </w:p>
        </w:tc>
      </w:tr>
      <w:tr w:rsidR="00CC579F" w:rsidRPr="00A4257E" w14:paraId="68CE53A8" w14:textId="77777777" w:rsidTr="007A71BD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60638D16" w14:textId="77777777" w:rsidR="00CC579F" w:rsidRPr="00CC579F" w:rsidRDefault="00CC579F" w:rsidP="00CC579F">
            <w:pPr>
              <w:spacing w:after="0"/>
              <w:ind w:left="162" w:hanging="16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 xml:space="preserve">High eff. heat pump water heater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CC579F">
              <w:rPr>
                <w:rFonts w:ascii="Arial" w:hAnsi="Arial"/>
                <w:color w:val="000000"/>
                <w:sz w:val="22"/>
              </w:rPr>
              <w:t>replacing gas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66E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5,200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551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5,200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29EF4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5,200</w:t>
            </w:r>
          </w:p>
        </w:tc>
      </w:tr>
      <w:tr w:rsidR="00CC579F" w:rsidRPr="00A4257E" w14:paraId="49983ADA" w14:textId="77777777" w:rsidTr="00AF48C3">
        <w:trPr>
          <w:cantSplit/>
          <w:trHeight w:val="274"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57F234EB" w14:textId="77777777" w:rsidR="00CC579F" w:rsidRPr="00CC579F" w:rsidRDefault="00CC579F" w:rsidP="00CC579F">
            <w:pPr>
              <w:spacing w:after="0"/>
              <w:ind w:left="162" w:hanging="16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Heat pump water heater replacing electric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FA7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213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2CE6A0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</w:t>
            </w:r>
          </w:p>
        </w:tc>
      </w:tr>
      <w:tr w:rsidR="00CC579F" w:rsidRPr="00A4257E" w14:paraId="4629788E" w14:textId="77777777" w:rsidTr="00046FA1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76CF941" w14:textId="77777777" w:rsidR="00CC579F" w:rsidRPr="00CC579F" w:rsidRDefault="00CC579F" w:rsidP="00CC579F">
            <w:pPr>
              <w:spacing w:after="0"/>
              <w:ind w:left="162" w:hanging="162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 xml:space="preserve">High eff. heat pump water heater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CC579F">
              <w:rPr>
                <w:rFonts w:ascii="Arial" w:hAnsi="Arial"/>
                <w:color w:val="000000"/>
                <w:sz w:val="22"/>
              </w:rPr>
              <w:t>replacing electric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EE69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E3AB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4B19CB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4,700</w:t>
            </w:r>
          </w:p>
        </w:tc>
      </w:tr>
      <w:tr w:rsidR="00CC579F" w:rsidRPr="00A4257E" w14:paraId="42FFAF4B" w14:textId="77777777" w:rsidTr="00875036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6A679053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Heat pump space heater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BE1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1,000 - 4,100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F89D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1,000 - 4,100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EB5A9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1,000 - 4,100</w:t>
            </w:r>
          </w:p>
        </w:tc>
      </w:tr>
      <w:tr w:rsidR="00CC579F" w:rsidRPr="00A4257E" w14:paraId="61B39157" w14:textId="77777777" w:rsidTr="00AA0C17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4EBF719B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High eff. heat pump space heater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212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3,900 - 7,000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807A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3,900 - 7,000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B67A1B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3,900 - 7,000</w:t>
            </w:r>
          </w:p>
        </w:tc>
      </w:tr>
      <w:tr w:rsidR="00CC579F" w:rsidRPr="00A4257E" w14:paraId="7B737D60" w14:textId="77777777" w:rsidTr="0083679C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4B0CBE91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Dual fuel heat pump space heater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A54E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2,000 - 3,400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790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2,000 - 3,400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67E2C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2,000 - 3,400</w:t>
            </w:r>
          </w:p>
        </w:tc>
      </w:tr>
      <w:tr w:rsidR="00CC579F" w:rsidRPr="00A4257E" w14:paraId="5A04421C" w14:textId="77777777" w:rsidTr="00985E3F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385C3CFC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Heat Pump Clothes Dryer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6351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F71D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06E176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400</w:t>
            </w:r>
          </w:p>
        </w:tc>
      </w:tr>
      <w:tr w:rsidR="00CC579F" w:rsidRPr="00A4257E" w14:paraId="62D9F016" w14:textId="77777777" w:rsidTr="00A15151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48D53C22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* </w:t>
            </w:r>
            <w:r w:rsidRPr="00CC579F">
              <w:rPr>
                <w:rFonts w:ascii="Arial" w:hAnsi="Arial"/>
                <w:color w:val="000000"/>
                <w:sz w:val="22"/>
              </w:rPr>
              <w:t>Induction Cooktop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A4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700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B632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700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058C09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700</w:t>
            </w:r>
          </w:p>
        </w:tc>
      </w:tr>
      <w:tr w:rsidR="00CC579F" w:rsidRPr="00A4257E" w14:paraId="70D92C2D" w14:textId="77777777" w:rsidTr="00D15001">
        <w:trPr>
          <w:cantSplit/>
          <w:tblHeader/>
        </w:trPr>
        <w:tc>
          <w:tcPr>
            <w:tcW w:w="4675" w:type="dxa"/>
            <w:tcBorders>
              <w:right w:val="nil"/>
            </w:tcBorders>
            <w:noWrap/>
            <w:vAlign w:val="center"/>
            <w:hideMark/>
          </w:tcPr>
          <w:p w14:paraId="282FF2F4" w14:textId="77777777" w:rsidR="00CC579F" w:rsidRPr="00CC579F" w:rsidRDefault="00CC579F" w:rsidP="00CC5E01">
            <w:pPr>
              <w:spacing w:after="0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Solar PV (3kW)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438C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14,000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2195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14,000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D93528" w14:textId="77777777" w:rsidR="00CC579F" w:rsidRPr="00CC579F" w:rsidRDefault="00CC579F" w:rsidP="00CC5E01">
            <w:pPr>
              <w:spacing w:after="0"/>
              <w:jc w:val="center"/>
              <w:rPr>
                <w:rFonts w:ascii="Arial" w:hAnsi="Arial"/>
                <w:color w:val="000000"/>
                <w:sz w:val="22"/>
              </w:rPr>
            </w:pPr>
            <w:r w:rsidRPr="00CC579F">
              <w:rPr>
                <w:rFonts w:ascii="Arial" w:hAnsi="Arial"/>
                <w:color w:val="000000"/>
                <w:sz w:val="22"/>
              </w:rPr>
              <w:t>14,000</w:t>
            </w:r>
          </w:p>
        </w:tc>
      </w:tr>
    </w:tbl>
    <w:p w14:paraId="0287F7B6" w14:textId="76870CD7" w:rsidR="009F768C" w:rsidRPr="00CC579F" w:rsidRDefault="00584B70" w:rsidP="00CC579F">
      <w:pPr>
        <w:pStyle w:val="ListParagraph"/>
        <w:ind w:left="360"/>
        <w:rPr>
          <w:rFonts w:ascii="Arial" w:hAnsi="Arial"/>
          <w:i/>
          <w:sz w:val="22"/>
        </w:rPr>
      </w:pPr>
      <w:r w:rsidRPr="00CC579F">
        <w:rPr>
          <w:rFonts w:ascii="Arial" w:hAnsi="Arial"/>
          <w:i/>
          <w:sz w:val="22"/>
        </w:rPr>
        <w:t xml:space="preserve">* </w:t>
      </w:r>
      <w:r w:rsidR="00AF03C5" w:rsidRPr="00CC579F">
        <w:rPr>
          <w:rFonts w:ascii="Arial" w:hAnsi="Arial"/>
          <w:i/>
          <w:sz w:val="22"/>
        </w:rPr>
        <w:t>Incremental cost at time o</w:t>
      </w:r>
      <w:r w:rsidR="003F6839" w:rsidRPr="00CC579F">
        <w:rPr>
          <w:rFonts w:ascii="Arial" w:hAnsi="Arial"/>
          <w:i/>
          <w:sz w:val="22"/>
        </w:rPr>
        <w:t>f</w:t>
      </w:r>
      <w:r w:rsidR="00AF03C5" w:rsidRPr="00CC579F">
        <w:rPr>
          <w:rFonts w:ascii="Arial" w:hAnsi="Arial"/>
          <w:i/>
          <w:sz w:val="22"/>
        </w:rPr>
        <w:t xml:space="preserve"> replacement</w:t>
      </w:r>
    </w:p>
    <w:p w14:paraId="57E863AA" w14:textId="77777777" w:rsidR="003777F5" w:rsidRPr="00CC579F" w:rsidRDefault="003777F5" w:rsidP="003777F5">
      <w:pPr>
        <w:rPr>
          <w:rFonts w:ascii="Arial" w:hAnsi="Arial"/>
          <w:sz w:val="22"/>
        </w:rPr>
      </w:pPr>
    </w:p>
    <w:p w14:paraId="09444581" w14:textId="77777777" w:rsidR="003777F5" w:rsidRPr="00CC579F" w:rsidRDefault="003777F5" w:rsidP="003777F5">
      <w:p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Q. Why do some measures have points which exceed the Maximum </w:t>
      </w:r>
      <w:r w:rsidRPr="00CC579F">
        <w:rPr>
          <w:rFonts w:ascii="Arial" w:hAnsi="Arial"/>
          <w:i/>
          <w:sz w:val="22"/>
        </w:rPr>
        <w:t>Target Score</w:t>
      </w:r>
      <w:r w:rsidRPr="00CC579F">
        <w:rPr>
          <w:rFonts w:ascii="Arial" w:hAnsi="Arial"/>
          <w:sz w:val="22"/>
        </w:rPr>
        <w:t>?</w:t>
      </w:r>
    </w:p>
    <w:p w14:paraId="1B2B2A0D" w14:textId="77777777" w:rsidR="003777F5" w:rsidRPr="00CC579F" w:rsidRDefault="003777F5" w:rsidP="003777F5">
      <w:pPr>
        <w:pStyle w:val="ListParagraph"/>
        <w:numPr>
          <w:ilvl w:val="0"/>
          <w:numId w:val="5"/>
        </w:num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The points are based on site energy savings; they do not vary based on the </w:t>
      </w:r>
      <w:r w:rsidRPr="00CC579F">
        <w:rPr>
          <w:rFonts w:ascii="Arial" w:hAnsi="Arial"/>
          <w:i/>
          <w:sz w:val="22"/>
        </w:rPr>
        <w:t>Target Score</w:t>
      </w:r>
      <w:r w:rsidRPr="00CC579F">
        <w:rPr>
          <w:rFonts w:ascii="Arial" w:hAnsi="Arial"/>
          <w:sz w:val="22"/>
        </w:rPr>
        <w:t xml:space="preserve">.  Measures with values that exceed the </w:t>
      </w:r>
      <w:r w:rsidRPr="00CC579F">
        <w:rPr>
          <w:rFonts w:ascii="Arial" w:hAnsi="Arial"/>
          <w:i/>
          <w:sz w:val="22"/>
        </w:rPr>
        <w:t>Target Score</w:t>
      </w:r>
      <w:r w:rsidRPr="00CC579F">
        <w:rPr>
          <w:rFonts w:ascii="Arial" w:hAnsi="Arial"/>
          <w:sz w:val="22"/>
        </w:rPr>
        <w:t xml:space="preserve"> save more energy than</w:t>
      </w:r>
      <w:r w:rsidRPr="00CC579F" w:rsidDel="00AD7DF4">
        <w:rPr>
          <w:rFonts w:ascii="Arial" w:hAnsi="Arial"/>
          <w:sz w:val="22"/>
        </w:rPr>
        <w:t xml:space="preserve"> </w:t>
      </w:r>
      <w:r w:rsidRPr="00CC579F">
        <w:rPr>
          <w:rFonts w:ascii="Arial" w:hAnsi="Arial"/>
          <w:sz w:val="22"/>
        </w:rPr>
        <w:t>required.</w:t>
      </w:r>
    </w:p>
    <w:p w14:paraId="61F8F370" w14:textId="77777777" w:rsidR="003777F5" w:rsidRPr="00CC579F" w:rsidRDefault="003777F5" w:rsidP="003777F5">
      <w:p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 </w:t>
      </w:r>
    </w:p>
    <w:p w14:paraId="269FEACD" w14:textId="77777777" w:rsidR="003777F5" w:rsidRPr="00CC579F" w:rsidRDefault="003777F5" w:rsidP="00CC579F">
      <w:pPr>
        <w:keepNext/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>Q. Can a jurisdiction alter the points and score?</w:t>
      </w:r>
    </w:p>
    <w:p w14:paraId="5FFF8F84" w14:textId="5686A408" w:rsidR="003777F5" w:rsidRPr="00CC579F" w:rsidRDefault="003777F5" w:rsidP="003777F5">
      <w:pPr>
        <w:pStyle w:val="ListParagraph"/>
        <w:numPr>
          <w:ilvl w:val="0"/>
          <w:numId w:val="4"/>
        </w:num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Jurisdictions may </w:t>
      </w:r>
      <w:r w:rsidR="001C7C25" w:rsidRPr="00CC579F">
        <w:rPr>
          <w:rFonts w:ascii="Arial" w:hAnsi="Arial"/>
          <w:sz w:val="22"/>
        </w:rPr>
        <w:t xml:space="preserve">(and should) </w:t>
      </w:r>
      <w:r w:rsidRPr="00CC579F">
        <w:rPr>
          <w:rFonts w:ascii="Arial" w:hAnsi="Arial"/>
          <w:sz w:val="22"/>
        </w:rPr>
        <w:t xml:space="preserve">alter the </w:t>
      </w:r>
      <w:r w:rsidRPr="00CC579F">
        <w:rPr>
          <w:rFonts w:ascii="Arial" w:hAnsi="Arial"/>
          <w:i/>
          <w:sz w:val="22"/>
        </w:rPr>
        <w:t>Target Score</w:t>
      </w:r>
      <w:r w:rsidRPr="00CC579F">
        <w:rPr>
          <w:rFonts w:ascii="Arial" w:hAnsi="Arial"/>
          <w:sz w:val="22"/>
        </w:rPr>
        <w:t xml:space="preserve"> but may not change the measure points. Users will need documentation supporting the relative energy value of the measure(s) to alter the measure points.</w:t>
      </w:r>
    </w:p>
    <w:p w14:paraId="6A319B02" w14:textId="77777777" w:rsidR="003777F5" w:rsidRPr="00CC579F" w:rsidRDefault="003777F5" w:rsidP="003777F5">
      <w:p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 </w:t>
      </w:r>
    </w:p>
    <w:p w14:paraId="0C1496B0" w14:textId="77777777" w:rsidR="003777F5" w:rsidRPr="00CC579F" w:rsidRDefault="003777F5" w:rsidP="00CC579F">
      <w:pPr>
        <w:keepNext/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lastRenderedPageBreak/>
        <w:t>Q. Can other measures be added to the list?</w:t>
      </w:r>
    </w:p>
    <w:p w14:paraId="0CE59430" w14:textId="21FF406C" w:rsidR="003777F5" w:rsidRPr="00CC579F" w:rsidRDefault="003777F5" w:rsidP="003777F5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If there is documentation supporting site energy savings, additional measures may be added. Contact </w:t>
      </w:r>
      <w:hyperlink r:id="rId18" w:history="1">
        <w:r w:rsidR="006E0B6C" w:rsidRPr="005442E4">
          <w:rPr>
            <w:rStyle w:val="Hyperlink"/>
            <w:rFonts w:ascii="Arial" w:hAnsi="Arial"/>
            <w:color w:val="3D728A"/>
            <w:sz w:val="22"/>
          </w:rPr>
          <w:t>info@LocalEnergyCodes.com</w:t>
        </w:r>
      </w:hyperlink>
      <w:r w:rsidRPr="00CC579F" w:rsidDel="00557CFA">
        <w:rPr>
          <w:rFonts w:ascii="Arial" w:hAnsi="Arial"/>
          <w:sz w:val="22"/>
        </w:rPr>
        <w:t xml:space="preserve"> </w:t>
      </w:r>
      <w:r w:rsidRPr="00CC579F">
        <w:rPr>
          <w:rFonts w:ascii="Arial" w:hAnsi="Arial"/>
          <w:sz w:val="22"/>
        </w:rPr>
        <w:t>to inquire about revisions.</w:t>
      </w:r>
    </w:p>
    <w:p w14:paraId="5E72BC65" w14:textId="77777777" w:rsidR="003777F5" w:rsidRPr="00CC579F" w:rsidRDefault="003777F5" w:rsidP="003777F5">
      <w:pPr>
        <w:rPr>
          <w:rFonts w:ascii="Arial" w:hAnsi="Arial"/>
          <w:sz w:val="22"/>
        </w:rPr>
      </w:pPr>
    </w:p>
    <w:p w14:paraId="72B2490D" w14:textId="77777777" w:rsidR="003777F5" w:rsidRPr="00CC579F" w:rsidRDefault="003777F5" w:rsidP="003777F5">
      <w:p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>Q. Why do some measures have no points for newer vintages?</w:t>
      </w:r>
    </w:p>
    <w:p w14:paraId="3CA97A2C" w14:textId="77777777" w:rsidR="003777F5" w:rsidRPr="00CC579F" w:rsidRDefault="003777F5" w:rsidP="003777F5">
      <w:pPr>
        <w:pStyle w:val="ListParagraph"/>
        <w:numPr>
          <w:ilvl w:val="0"/>
          <w:numId w:val="12"/>
        </w:num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Certain measures (e.g., windows, wall insulation) were required at the time of construction in newer vintages and are therefore not eligible for points. </w:t>
      </w:r>
    </w:p>
    <w:p w14:paraId="4CC0CCF7" w14:textId="77777777" w:rsidR="003777F5" w:rsidRPr="00CC579F" w:rsidRDefault="003777F5" w:rsidP="003777F5">
      <w:pPr>
        <w:rPr>
          <w:rFonts w:ascii="Arial" w:hAnsi="Arial"/>
          <w:sz w:val="22"/>
        </w:rPr>
      </w:pPr>
    </w:p>
    <w:p w14:paraId="1B83F78D" w14:textId="77777777" w:rsidR="003777F5" w:rsidRPr="00CC579F" w:rsidRDefault="003777F5" w:rsidP="003777F5">
      <w:p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>Q. How would this ordinance be implemented?</w:t>
      </w:r>
    </w:p>
    <w:p w14:paraId="30BC8B34" w14:textId="72190D7A" w:rsidR="003777F5" w:rsidRPr="00E25CD4" w:rsidRDefault="003777F5" w:rsidP="003777F5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00CC579F">
        <w:rPr>
          <w:rFonts w:ascii="Arial" w:hAnsi="Arial"/>
          <w:sz w:val="22"/>
        </w:rPr>
        <w:t xml:space="preserve">Specific implementation details will depend upon the triggers, stringency, and scope of each adopted ordinance. Projects that </w:t>
      </w:r>
      <w:r w:rsidR="00400DF8" w:rsidRPr="00A4257E">
        <w:rPr>
          <w:rFonts w:ascii="Arial" w:eastAsia="Calibri" w:hAnsi="Arial" w:cs="Arial"/>
          <w:sz w:val="22"/>
          <w:szCs w:val="22"/>
        </w:rPr>
        <w:t>must</w:t>
      </w:r>
      <w:r w:rsidRPr="00E25CD4">
        <w:rPr>
          <w:rFonts w:ascii="Arial" w:hAnsi="Arial"/>
          <w:sz w:val="22"/>
        </w:rPr>
        <w:t xml:space="preserve"> comply with the ordinance would be required to install a combination of measures from the menu that meets or exceeds the </w:t>
      </w:r>
      <w:r w:rsidRPr="00E25CD4">
        <w:rPr>
          <w:rFonts w:ascii="Arial" w:hAnsi="Arial"/>
          <w:i/>
          <w:sz w:val="22"/>
        </w:rPr>
        <w:t>Target Score</w:t>
      </w:r>
      <w:r w:rsidRPr="00E25CD4">
        <w:rPr>
          <w:rFonts w:ascii="Arial" w:hAnsi="Arial"/>
          <w:sz w:val="22"/>
        </w:rPr>
        <w:t xml:space="preserve">. Permit applicants would submit a supplemental form documenting that the measures selected and installed meet or exceed the </w:t>
      </w:r>
      <w:r w:rsidRPr="00E25CD4">
        <w:rPr>
          <w:rFonts w:ascii="Arial" w:hAnsi="Arial"/>
          <w:i/>
          <w:sz w:val="22"/>
        </w:rPr>
        <w:t>Target Score</w:t>
      </w:r>
      <w:r w:rsidRPr="00E25CD4">
        <w:rPr>
          <w:rFonts w:ascii="Arial" w:hAnsi="Arial"/>
          <w:sz w:val="22"/>
        </w:rPr>
        <w:t xml:space="preserve">. </w:t>
      </w:r>
      <w:hyperlink r:id="rId19" w:history="1">
        <w:r w:rsidRPr="005442E4">
          <w:rPr>
            <w:rStyle w:val="Hyperlink"/>
            <w:rFonts w:ascii="Arial" w:hAnsi="Arial"/>
            <w:color w:val="3D728A"/>
            <w:sz w:val="22"/>
          </w:rPr>
          <w:t>Collateral materials</w:t>
        </w:r>
      </w:hyperlink>
      <w:r w:rsidRPr="00E25CD4">
        <w:rPr>
          <w:rFonts w:ascii="Arial" w:hAnsi="Arial"/>
          <w:sz w:val="22"/>
        </w:rPr>
        <w:t xml:space="preserve"> have been developed to assist implementation. These materials include: an application checklist;</w:t>
      </w:r>
      <w:r w:rsidR="00BF0E01" w:rsidRPr="00E25CD4">
        <w:rPr>
          <w:rFonts w:ascii="Arial" w:hAnsi="Arial"/>
          <w:sz w:val="22"/>
        </w:rPr>
        <w:t xml:space="preserve"> </w:t>
      </w:r>
      <w:r w:rsidRPr="00E25CD4">
        <w:rPr>
          <w:rFonts w:ascii="Arial" w:hAnsi="Arial"/>
          <w:sz w:val="22"/>
        </w:rPr>
        <w:t xml:space="preserve">air-sealing checklist; </w:t>
      </w:r>
      <w:r w:rsidR="00BF0E01" w:rsidRPr="00E25CD4">
        <w:rPr>
          <w:rFonts w:ascii="Arial" w:hAnsi="Arial"/>
          <w:sz w:val="22"/>
        </w:rPr>
        <w:t>an</w:t>
      </w:r>
      <w:r w:rsidR="007001FF" w:rsidRPr="00E25CD4">
        <w:rPr>
          <w:rFonts w:ascii="Arial" w:hAnsi="Arial"/>
          <w:sz w:val="22"/>
        </w:rPr>
        <w:t>d an exceptions form.</w:t>
      </w:r>
    </w:p>
    <w:p w14:paraId="4C351F75" w14:textId="77777777" w:rsidR="003777F5" w:rsidRPr="00E25CD4" w:rsidRDefault="003777F5" w:rsidP="003777F5">
      <w:pPr>
        <w:rPr>
          <w:rFonts w:ascii="Arial" w:hAnsi="Arial"/>
          <w:sz w:val="22"/>
        </w:rPr>
      </w:pPr>
    </w:p>
    <w:p w14:paraId="2D04B5FA" w14:textId="77777777" w:rsidR="003777F5" w:rsidRPr="00E25CD4" w:rsidRDefault="003777F5" w:rsidP="00E25CD4">
      <w:pPr>
        <w:ind w:left="360" w:hanging="360"/>
        <w:rPr>
          <w:rFonts w:ascii="Arial" w:hAnsi="Arial"/>
          <w:sz w:val="22"/>
        </w:rPr>
      </w:pPr>
      <w:r w:rsidRPr="00E25CD4">
        <w:rPr>
          <w:rFonts w:ascii="Arial" w:hAnsi="Arial"/>
          <w:sz w:val="22"/>
        </w:rPr>
        <w:t>Q. What if compliance would be very onerous because only a few measures are applicable or technically feasible in the home?</w:t>
      </w:r>
    </w:p>
    <w:p w14:paraId="52442AB2" w14:textId="50A8A453" w:rsidR="003777F5" w:rsidRPr="00E25CD4" w:rsidRDefault="003777F5" w:rsidP="00560E88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 w:rsidRPr="00E25CD4">
        <w:rPr>
          <w:rFonts w:ascii="Arial" w:hAnsi="Arial"/>
          <w:sz w:val="22"/>
        </w:rPr>
        <w:t xml:space="preserve">There is an exception that allows the Building Administrator to adjust the </w:t>
      </w:r>
      <w:r w:rsidRPr="00E25CD4">
        <w:rPr>
          <w:rFonts w:ascii="Arial" w:hAnsi="Arial"/>
          <w:i/>
          <w:sz w:val="22"/>
        </w:rPr>
        <w:t>Target Score</w:t>
      </w:r>
      <w:r w:rsidRPr="00E25CD4">
        <w:rPr>
          <w:rFonts w:ascii="Arial" w:hAnsi="Arial"/>
          <w:sz w:val="22"/>
        </w:rPr>
        <w:t xml:space="preserve">.  </w:t>
      </w:r>
      <w:r w:rsidR="00136918" w:rsidRPr="00E25CD4">
        <w:rPr>
          <w:rFonts w:ascii="Arial" w:hAnsi="Arial"/>
          <w:sz w:val="22"/>
        </w:rPr>
        <w:t>The</w:t>
      </w:r>
      <w:r w:rsidRPr="00E25CD4">
        <w:rPr>
          <w:rFonts w:ascii="Arial" w:hAnsi="Arial"/>
          <w:sz w:val="22"/>
        </w:rPr>
        <w:t xml:space="preserve"> </w:t>
      </w:r>
      <w:r w:rsidR="00BF0E01" w:rsidRPr="00E25CD4">
        <w:rPr>
          <w:rFonts w:ascii="Arial" w:hAnsi="Arial"/>
          <w:sz w:val="22"/>
        </w:rPr>
        <w:t xml:space="preserve">exception </w:t>
      </w:r>
      <w:r w:rsidR="001823BD" w:rsidRPr="00E25CD4">
        <w:rPr>
          <w:rFonts w:ascii="Arial" w:hAnsi="Arial"/>
          <w:sz w:val="22"/>
        </w:rPr>
        <w:t xml:space="preserve">form </w:t>
      </w:r>
      <w:r w:rsidR="00136918" w:rsidRPr="00E25CD4">
        <w:rPr>
          <w:rFonts w:ascii="Arial" w:hAnsi="Arial"/>
          <w:sz w:val="22"/>
        </w:rPr>
        <w:t>provides</w:t>
      </w:r>
      <w:r w:rsidRPr="00E25CD4">
        <w:rPr>
          <w:rFonts w:ascii="Arial" w:hAnsi="Arial"/>
          <w:sz w:val="22"/>
        </w:rPr>
        <w:t xml:space="preserve"> </w:t>
      </w:r>
      <w:r w:rsidR="001823BD" w:rsidRPr="00E25CD4">
        <w:rPr>
          <w:rFonts w:ascii="Arial" w:hAnsi="Arial"/>
          <w:sz w:val="22"/>
        </w:rPr>
        <w:t>specific values</w:t>
      </w:r>
      <w:r w:rsidR="008B7D11" w:rsidRPr="00E25CD4">
        <w:rPr>
          <w:rFonts w:ascii="Arial" w:hAnsi="Arial"/>
          <w:sz w:val="22"/>
        </w:rPr>
        <w:t xml:space="preserve"> for those measures that were used to set </w:t>
      </w:r>
      <w:r w:rsidRPr="00E25CD4">
        <w:rPr>
          <w:rFonts w:ascii="Arial" w:hAnsi="Arial"/>
          <w:i/>
          <w:sz w:val="22"/>
        </w:rPr>
        <w:t>Target Score</w:t>
      </w:r>
      <w:r w:rsidR="008B7D11" w:rsidRPr="00E25CD4">
        <w:rPr>
          <w:rFonts w:ascii="Arial" w:hAnsi="Arial"/>
          <w:sz w:val="22"/>
        </w:rPr>
        <w:t>, which can be applied as credits</w:t>
      </w:r>
      <w:r w:rsidR="005027FD" w:rsidRPr="00E25CD4">
        <w:rPr>
          <w:rFonts w:ascii="Arial" w:hAnsi="Arial"/>
          <w:sz w:val="22"/>
        </w:rPr>
        <w:t>.</w:t>
      </w:r>
      <w:r w:rsidRPr="00E25CD4">
        <w:rPr>
          <w:rFonts w:ascii="Arial" w:hAnsi="Arial"/>
          <w:sz w:val="22"/>
        </w:rPr>
        <w:t xml:space="preserve"> If those measures are deemed to be not applicable (e.g., ducts in a home with hydronic heating) or infeasible (e.g., PV with excessive shading), the Administrator may reduce the </w:t>
      </w:r>
      <w:r w:rsidRPr="00E25CD4">
        <w:rPr>
          <w:rFonts w:ascii="Arial" w:hAnsi="Arial"/>
          <w:i/>
          <w:sz w:val="22"/>
        </w:rPr>
        <w:t>Target Score</w:t>
      </w:r>
      <w:r w:rsidRPr="00E25CD4">
        <w:rPr>
          <w:rFonts w:ascii="Arial" w:hAnsi="Arial"/>
          <w:sz w:val="22"/>
        </w:rPr>
        <w:t xml:space="preserve"> by the value of those measures.</w:t>
      </w:r>
    </w:p>
    <w:p w14:paraId="7693ACB3" w14:textId="77777777" w:rsidR="003777F5" w:rsidRPr="00E25CD4" w:rsidRDefault="003777F5" w:rsidP="003777F5">
      <w:pPr>
        <w:rPr>
          <w:rFonts w:ascii="Arial" w:hAnsi="Arial"/>
          <w:sz w:val="22"/>
        </w:rPr>
      </w:pPr>
    </w:p>
    <w:p w14:paraId="1A555022" w14:textId="77777777" w:rsidR="003777F5" w:rsidRPr="00E25CD4" w:rsidRDefault="003777F5" w:rsidP="003777F5">
      <w:pPr>
        <w:rPr>
          <w:rFonts w:ascii="Arial" w:hAnsi="Arial"/>
          <w:sz w:val="22"/>
        </w:rPr>
      </w:pPr>
      <w:r w:rsidRPr="00E25CD4">
        <w:rPr>
          <w:rFonts w:ascii="Arial" w:hAnsi="Arial"/>
          <w:sz w:val="22"/>
        </w:rPr>
        <w:t xml:space="preserve">Q. How do the vintages account for code cycles that became effective mid-year? </w:t>
      </w:r>
    </w:p>
    <w:p w14:paraId="55EFDAA1" w14:textId="66C83F20" w:rsidR="003777F5" w:rsidRPr="00E25CD4" w:rsidRDefault="003777F5" w:rsidP="003777F5">
      <w:pPr>
        <w:pStyle w:val="ListParagraph"/>
        <w:numPr>
          <w:ilvl w:val="0"/>
          <w:numId w:val="14"/>
        </w:numPr>
        <w:rPr>
          <w:rFonts w:ascii="Arial" w:hAnsi="Arial"/>
          <w:sz w:val="22"/>
        </w:rPr>
      </w:pPr>
      <w:r w:rsidRPr="00E25CD4">
        <w:rPr>
          <w:rFonts w:ascii="Arial" w:hAnsi="Arial"/>
          <w:sz w:val="22"/>
        </w:rPr>
        <w:t>Normally, codes become effective on January 1 of the year following the nominal code cycle. However, in some cycles the effective date was postponed to midyear. In these cases, the vintages are rounded down such that a home permitted anytime during that year is credited with the code effective in the latter half of the year.</w:t>
      </w:r>
    </w:p>
    <w:p w14:paraId="6DA327C1" w14:textId="77777777" w:rsidR="003777F5" w:rsidRPr="00E25CD4" w:rsidRDefault="003777F5" w:rsidP="003777F5">
      <w:pPr>
        <w:rPr>
          <w:rFonts w:ascii="Arial" w:hAnsi="Arial"/>
          <w:sz w:val="22"/>
        </w:rPr>
      </w:pPr>
    </w:p>
    <w:p w14:paraId="27390C14" w14:textId="77777777" w:rsidR="003777F5" w:rsidRPr="00E25CD4" w:rsidRDefault="003777F5" w:rsidP="003777F5">
      <w:pPr>
        <w:rPr>
          <w:rFonts w:ascii="Arial" w:hAnsi="Arial"/>
          <w:sz w:val="22"/>
        </w:rPr>
      </w:pPr>
    </w:p>
    <w:p w14:paraId="4966014C" w14:textId="77777777" w:rsidR="00627B45" w:rsidRPr="00EF7F57" w:rsidRDefault="00627B45">
      <w:pPr>
        <w:rPr>
          <w:rFonts w:ascii="Arial" w:hAnsi="Arial"/>
        </w:rPr>
      </w:pPr>
    </w:p>
    <w:sectPr w:rsidR="00627B45" w:rsidRPr="00EF7F57" w:rsidSect="007439EE">
      <w:footerReference w:type="default" r:id="rId20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411BD" w14:textId="77777777" w:rsidR="00C27475" w:rsidRDefault="00C27475">
      <w:pPr>
        <w:spacing w:after="0"/>
      </w:pPr>
      <w:r>
        <w:separator/>
      </w:r>
    </w:p>
  </w:endnote>
  <w:endnote w:type="continuationSeparator" w:id="0">
    <w:p w14:paraId="7C707D93" w14:textId="77777777" w:rsidR="00C27475" w:rsidRDefault="00C27475">
      <w:pPr>
        <w:spacing w:after="0"/>
      </w:pPr>
      <w:r>
        <w:continuationSeparator/>
      </w:r>
    </w:p>
  </w:endnote>
  <w:endnote w:type="continuationNotice" w:id="1">
    <w:p w14:paraId="2D579DEC" w14:textId="77777777" w:rsidR="00C27475" w:rsidRDefault="00C274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4E2B" w14:textId="77777777" w:rsidR="003777F5" w:rsidRDefault="003777F5" w:rsidP="0079667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2FBCCE" w14:textId="77777777" w:rsidR="003777F5" w:rsidRDefault="003777F5" w:rsidP="00E33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EC0D" w14:textId="3BACBCFA" w:rsidR="00796679" w:rsidRDefault="00796679" w:rsidP="005013DF">
    <w:pPr>
      <w:pStyle w:val="Footer"/>
      <w:framePr w:wrap="none" w:vAnchor="text" w:hAnchor="margin" w:xAlign="right" w:y="1"/>
      <w:rPr>
        <w:rStyle w:val="PageNumber"/>
      </w:rPr>
    </w:pPr>
  </w:p>
  <w:p w14:paraId="5BDD6AB0" w14:textId="77777777" w:rsidR="003777F5" w:rsidRDefault="003777F5" w:rsidP="0079667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11542143"/>
      <w:docPartObj>
        <w:docPartGallery w:val="Page Numbers (Bottom of Page)"/>
        <w:docPartUnique/>
      </w:docPartObj>
    </w:sdtPr>
    <w:sdtContent>
      <w:p w14:paraId="5FBDEF34" w14:textId="77777777" w:rsidR="00796679" w:rsidRDefault="00796679" w:rsidP="005013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48E7EB3" w14:textId="77777777" w:rsidR="00796679" w:rsidRDefault="00796679" w:rsidP="0079667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A9E2" w14:textId="77777777" w:rsidR="00C27475" w:rsidRDefault="00C27475">
      <w:pPr>
        <w:spacing w:after="0"/>
      </w:pPr>
      <w:r>
        <w:separator/>
      </w:r>
    </w:p>
  </w:footnote>
  <w:footnote w:type="continuationSeparator" w:id="0">
    <w:p w14:paraId="520545F1" w14:textId="77777777" w:rsidR="00C27475" w:rsidRDefault="00C27475">
      <w:pPr>
        <w:spacing w:after="0"/>
      </w:pPr>
      <w:r>
        <w:continuationSeparator/>
      </w:r>
    </w:p>
  </w:footnote>
  <w:footnote w:type="continuationNotice" w:id="1">
    <w:p w14:paraId="07334407" w14:textId="77777777" w:rsidR="00C27475" w:rsidRDefault="00C27475">
      <w:pPr>
        <w:spacing w:after="0"/>
      </w:pPr>
    </w:p>
  </w:footnote>
  <w:footnote w:id="2">
    <w:p w14:paraId="2FADFF94" w14:textId="2083B936" w:rsidR="00F66A63" w:rsidRPr="00E25CD4" w:rsidRDefault="00F66A63" w:rsidP="00A2456C">
      <w:pPr>
        <w:pStyle w:val="FootnoteText"/>
        <w:ind w:left="180" w:hanging="180"/>
        <w:rPr>
          <w:rFonts w:ascii="Arial" w:hAnsi="Arial"/>
        </w:rPr>
      </w:pPr>
      <w:r w:rsidRPr="00E25CD4">
        <w:rPr>
          <w:rStyle w:val="FootnoteReference"/>
          <w:rFonts w:ascii="Arial" w:hAnsi="Arial"/>
        </w:rPr>
        <w:footnoteRef/>
      </w:r>
      <w:r w:rsidRPr="00E25CD4">
        <w:rPr>
          <w:rFonts w:ascii="Arial" w:hAnsi="Arial"/>
        </w:rPr>
        <w:t xml:space="preserve"> </w:t>
      </w:r>
      <w:r w:rsidR="006054F4" w:rsidRPr="00E25CD4">
        <w:rPr>
          <w:rFonts w:ascii="Arial" w:hAnsi="Arial"/>
        </w:rPr>
        <w:t xml:space="preserve">42 </w:t>
      </w:r>
      <w:r w:rsidR="006054F4" w:rsidRPr="00DA4320">
        <w:rPr>
          <w:rFonts w:ascii="Arial" w:hAnsi="Arial" w:cs="Arial"/>
        </w:rPr>
        <w:t>US</w:t>
      </w:r>
      <w:r w:rsidR="00BA1C81">
        <w:rPr>
          <w:rFonts w:ascii="Arial" w:hAnsi="Arial" w:cs="Arial"/>
        </w:rPr>
        <w:t xml:space="preserve"> </w:t>
      </w:r>
      <w:r w:rsidR="006054F4" w:rsidRPr="00DA4320">
        <w:rPr>
          <w:rFonts w:ascii="Arial" w:hAnsi="Arial" w:cs="Arial"/>
        </w:rPr>
        <w:t>Code</w:t>
      </w:r>
      <w:r w:rsidR="006054F4" w:rsidRPr="00E25CD4">
        <w:rPr>
          <w:rFonts w:ascii="Arial" w:hAnsi="Arial"/>
        </w:rPr>
        <w:t xml:space="preserve"> Sec. 6297(</w:t>
      </w:r>
      <w:r w:rsidR="00D26ACD" w:rsidRPr="00E25CD4">
        <w:rPr>
          <w:rFonts w:ascii="Arial" w:hAnsi="Arial"/>
        </w:rPr>
        <w:t>f</w:t>
      </w:r>
      <w:r w:rsidR="006054F4" w:rsidRPr="00E25CD4">
        <w:rPr>
          <w:rFonts w:ascii="Arial" w:hAnsi="Arial"/>
        </w:rPr>
        <w:t>)</w:t>
      </w:r>
      <w:r w:rsidR="00F94957" w:rsidRPr="00E25CD4">
        <w:rPr>
          <w:rFonts w:ascii="Arial" w:hAnsi="Arial"/>
        </w:rPr>
        <w:t>(3)</w:t>
      </w:r>
      <w:r w:rsidR="00D26ACD" w:rsidRPr="00E25CD4">
        <w:rPr>
          <w:rFonts w:ascii="Arial" w:hAnsi="Arial"/>
        </w:rPr>
        <w:t>(</w:t>
      </w:r>
      <w:r w:rsidR="00561A18" w:rsidRPr="00E25CD4">
        <w:rPr>
          <w:rFonts w:ascii="Arial" w:hAnsi="Arial"/>
        </w:rPr>
        <w:t>F</w:t>
      </w:r>
      <w:r w:rsidR="00D26ACD" w:rsidRPr="00E25CD4">
        <w:rPr>
          <w:rFonts w:ascii="Arial" w:hAnsi="Arial"/>
        </w:rPr>
        <w:t xml:space="preserve">). </w:t>
      </w:r>
      <w:r w:rsidR="006054F4" w:rsidRPr="00E25CD4">
        <w:rPr>
          <w:rFonts w:ascii="Arial" w:hAnsi="Arial"/>
        </w:rPr>
        <w:t xml:space="preserve"> </w:t>
      </w:r>
      <w:hyperlink r:id="rId1" w:history="1">
        <w:r w:rsidR="0079372C" w:rsidRPr="005442E4">
          <w:rPr>
            <w:rStyle w:val="Hyperlink"/>
            <w:color w:val="3D728A"/>
          </w:rPr>
          <w:t>https://www.govinfo.gov/content/pkg/USCODE-2022-title42/pdf/USCODE-2022-title42-chap77-subchapIII-partA-sec6297.pdf</w:t>
        </w:r>
      </w:hyperlink>
      <w:r w:rsidR="0079372C" w:rsidRPr="005442E4">
        <w:rPr>
          <w:rFonts w:ascii="Arial" w:hAnsi="Arial"/>
          <w:color w:val="3D728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4C08C" w14:textId="77777777" w:rsidR="003777F5" w:rsidRDefault="00000000">
    <w:pPr>
      <w:pStyle w:val="Header"/>
    </w:pPr>
    <w:r>
      <w:rPr>
        <w:noProof/>
      </w:rPr>
      <w:pict w14:anchorId="00501B9A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779354325" o:spid="_x0000_s1026" type="#_x0000_t202" alt="" style="position:absolute;margin-left:0;margin-top:0;width:494.9pt;height:164.95pt;z-index:-251658239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1DAFD1DD" w14:textId="77777777" w:rsidR="003777F5" w:rsidRPr="00DA4320" w:rsidRDefault="003777F5" w:rsidP="000E5CF4">
                <w:pPr>
                  <w:jc w:val="center"/>
                  <w:rPr>
                    <w:rFonts w:ascii="Calibri" w:hAnsi="Calibri" w:cs="Calibri"/>
                    <w:sz w:val="72"/>
                    <w:szCs w:val="72"/>
                  </w:rPr>
                </w:pPr>
                <w:r w:rsidRPr="00DA4320">
                  <w:rPr>
                    <w:rFonts w:ascii="Calibri" w:hAnsi="Calibri" w:cs="Calibri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EB2D" w14:textId="77777777" w:rsidR="003777F5" w:rsidRDefault="003777F5" w:rsidP="000277A6">
    <w:pPr>
      <w:pStyle w:val="Header"/>
    </w:pPr>
  </w:p>
  <w:p w14:paraId="3C30D89E" w14:textId="77777777" w:rsidR="003777F5" w:rsidRDefault="00377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7159B" w14:textId="77777777" w:rsidR="003777F5" w:rsidRDefault="00000000">
    <w:pPr>
      <w:pStyle w:val="Header"/>
    </w:pPr>
    <w:r>
      <w:rPr>
        <w:noProof/>
      </w:rPr>
      <w:pict w14:anchorId="2DB464E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0;margin-top:0;width:494.9pt;height:164.95pt;rotation:315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>
          <o:lock v:ext="edit" aspectratio="t" verticies="t" shapetype="t"/>
          <v:textbox>
            <w:txbxContent>
              <w:p w14:paraId="57C79B7D" w14:textId="77777777" w:rsidR="003777F5" w:rsidRPr="00DA4320" w:rsidRDefault="003777F5" w:rsidP="000E5CF4">
                <w:pPr>
                  <w:jc w:val="center"/>
                  <w:rPr>
                    <w:rFonts w:ascii="Calibri" w:hAnsi="Calibri" w:cs="Calibri"/>
                    <w:sz w:val="72"/>
                    <w:szCs w:val="72"/>
                  </w:rPr>
                </w:pPr>
                <w:r w:rsidRPr="00DA4320">
                  <w:rPr>
                    <w:rFonts w:ascii="Calibri" w:hAnsi="Calibri" w:cs="Calibri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0AF3"/>
    <w:multiLevelType w:val="hybridMultilevel"/>
    <w:tmpl w:val="9AC62C12"/>
    <w:lvl w:ilvl="0" w:tplc="022CD184">
      <w:start w:val="1"/>
      <w:numFmt w:val="upperLetter"/>
      <w:lvlText w:val="%1."/>
      <w:lvlJc w:val="left"/>
      <w:pPr>
        <w:ind w:left="720" w:hanging="360"/>
      </w:pPr>
    </w:lvl>
    <w:lvl w:ilvl="1" w:tplc="63C63A3E">
      <w:start w:val="1"/>
      <w:numFmt w:val="lowerLetter"/>
      <w:lvlText w:val="%2."/>
      <w:lvlJc w:val="left"/>
      <w:pPr>
        <w:ind w:left="1440" w:hanging="360"/>
      </w:pPr>
    </w:lvl>
    <w:lvl w:ilvl="2" w:tplc="E0940ACA">
      <w:start w:val="1"/>
      <w:numFmt w:val="lowerRoman"/>
      <w:lvlText w:val="%3."/>
      <w:lvlJc w:val="right"/>
      <w:pPr>
        <w:ind w:left="2160" w:hanging="180"/>
      </w:pPr>
    </w:lvl>
    <w:lvl w:ilvl="3" w:tplc="59CA20B6">
      <w:start w:val="1"/>
      <w:numFmt w:val="decimal"/>
      <w:lvlText w:val="%4."/>
      <w:lvlJc w:val="left"/>
      <w:pPr>
        <w:ind w:left="2880" w:hanging="360"/>
      </w:pPr>
    </w:lvl>
    <w:lvl w:ilvl="4" w:tplc="3716C12C">
      <w:start w:val="1"/>
      <w:numFmt w:val="lowerLetter"/>
      <w:lvlText w:val="%5."/>
      <w:lvlJc w:val="left"/>
      <w:pPr>
        <w:ind w:left="3600" w:hanging="360"/>
      </w:pPr>
    </w:lvl>
    <w:lvl w:ilvl="5" w:tplc="686461AC">
      <w:start w:val="1"/>
      <w:numFmt w:val="lowerRoman"/>
      <w:lvlText w:val="%6."/>
      <w:lvlJc w:val="right"/>
      <w:pPr>
        <w:ind w:left="4320" w:hanging="180"/>
      </w:pPr>
    </w:lvl>
    <w:lvl w:ilvl="6" w:tplc="8A3E0DAA">
      <w:start w:val="1"/>
      <w:numFmt w:val="decimal"/>
      <w:lvlText w:val="%7."/>
      <w:lvlJc w:val="left"/>
      <w:pPr>
        <w:ind w:left="5040" w:hanging="360"/>
      </w:pPr>
    </w:lvl>
    <w:lvl w:ilvl="7" w:tplc="A4A4999A">
      <w:start w:val="1"/>
      <w:numFmt w:val="lowerLetter"/>
      <w:lvlText w:val="%8."/>
      <w:lvlJc w:val="left"/>
      <w:pPr>
        <w:ind w:left="5760" w:hanging="360"/>
      </w:pPr>
    </w:lvl>
    <w:lvl w:ilvl="8" w:tplc="4E2EB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5FC1"/>
    <w:multiLevelType w:val="hybridMultilevel"/>
    <w:tmpl w:val="53345992"/>
    <w:lvl w:ilvl="0" w:tplc="BDA02EA6">
      <w:start w:val="1"/>
      <w:numFmt w:val="upperLetter"/>
      <w:lvlText w:val="%1."/>
      <w:lvlJc w:val="left"/>
      <w:pPr>
        <w:ind w:left="720" w:hanging="360"/>
      </w:pPr>
    </w:lvl>
    <w:lvl w:ilvl="1" w:tplc="00F6452A">
      <w:start w:val="1"/>
      <w:numFmt w:val="lowerLetter"/>
      <w:lvlText w:val="%2."/>
      <w:lvlJc w:val="left"/>
      <w:pPr>
        <w:ind w:left="1440" w:hanging="360"/>
      </w:pPr>
    </w:lvl>
    <w:lvl w:ilvl="2" w:tplc="C0564E20">
      <w:start w:val="1"/>
      <w:numFmt w:val="lowerRoman"/>
      <w:lvlText w:val="%3."/>
      <w:lvlJc w:val="right"/>
      <w:pPr>
        <w:ind w:left="2160" w:hanging="180"/>
      </w:pPr>
    </w:lvl>
    <w:lvl w:ilvl="3" w:tplc="B1BAD3A8">
      <w:start w:val="1"/>
      <w:numFmt w:val="decimal"/>
      <w:lvlText w:val="%4."/>
      <w:lvlJc w:val="left"/>
      <w:pPr>
        <w:ind w:left="2880" w:hanging="360"/>
      </w:pPr>
    </w:lvl>
    <w:lvl w:ilvl="4" w:tplc="7BAE2F1C">
      <w:start w:val="1"/>
      <w:numFmt w:val="lowerLetter"/>
      <w:lvlText w:val="%5."/>
      <w:lvlJc w:val="left"/>
      <w:pPr>
        <w:ind w:left="3600" w:hanging="360"/>
      </w:pPr>
    </w:lvl>
    <w:lvl w:ilvl="5" w:tplc="99200E6A">
      <w:start w:val="1"/>
      <w:numFmt w:val="lowerRoman"/>
      <w:lvlText w:val="%6."/>
      <w:lvlJc w:val="right"/>
      <w:pPr>
        <w:ind w:left="4320" w:hanging="180"/>
      </w:pPr>
    </w:lvl>
    <w:lvl w:ilvl="6" w:tplc="431E2AF0">
      <w:start w:val="1"/>
      <w:numFmt w:val="decimal"/>
      <w:lvlText w:val="%7."/>
      <w:lvlJc w:val="left"/>
      <w:pPr>
        <w:ind w:left="5040" w:hanging="360"/>
      </w:pPr>
    </w:lvl>
    <w:lvl w:ilvl="7" w:tplc="869EFCA2">
      <w:start w:val="1"/>
      <w:numFmt w:val="lowerLetter"/>
      <w:lvlText w:val="%8."/>
      <w:lvlJc w:val="left"/>
      <w:pPr>
        <w:ind w:left="5760" w:hanging="360"/>
      </w:pPr>
    </w:lvl>
    <w:lvl w:ilvl="8" w:tplc="694AB4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819"/>
    <w:multiLevelType w:val="hybridMultilevel"/>
    <w:tmpl w:val="4F4A4482"/>
    <w:lvl w:ilvl="0" w:tplc="8E7CAC7C">
      <w:start w:val="1"/>
      <w:numFmt w:val="upperLetter"/>
      <w:lvlText w:val="%1."/>
      <w:lvlJc w:val="left"/>
      <w:pPr>
        <w:ind w:left="720" w:hanging="360"/>
      </w:pPr>
    </w:lvl>
    <w:lvl w:ilvl="1" w:tplc="93D83DE8">
      <w:start w:val="1"/>
      <w:numFmt w:val="lowerLetter"/>
      <w:lvlText w:val="%2."/>
      <w:lvlJc w:val="left"/>
      <w:pPr>
        <w:ind w:left="1440" w:hanging="360"/>
      </w:pPr>
    </w:lvl>
    <w:lvl w:ilvl="2" w:tplc="4208AF80">
      <w:start w:val="1"/>
      <w:numFmt w:val="lowerRoman"/>
      <w:lvlText w:val="%3."/>
      <w:lvlJc w:val="right"/>
      <w:pPr>
        <w:ind w:left="2160" w:hanging="180"/>
      </w:pPr>
    </w:lvl>
    <w:lvl w:ilvl="3" w:tplc="3F842FAE">
      <w:start w:val="1"/>
      <w:numFmt w:val="decimal"/>
      <w:lvlText w:val="%4."/>
      <w:lvlJc w:val="left"/>
      <w:pPr>
        <w:ind w:left="2880" w:hanging="360"/>
      </w:pPr>
    </w:lvl>
    <w:lvl w:ilvl="4" w:tplc="A3D25F2A">
      <w:start w:val="1"/>
      <w:numFmt w:val="lowerLetter"/>
      <w:lvlText w:val="%5."/>
      <w:lvlJc w:val="left"/>
      <w:pPr>
        <w:ind w:left="3600" w:hanging="360"/>
      </w:pPr>
    </w:lvl>
    <w:lvl w:ilvl="5" w:tplc="27E849C2">
      <w:start w:val="1"/>
      <w:numFmt w:val="lowerRoman"/>
      <w:lvlText w:val="%6."/>
      <w:lvlJc w:val="right"/>
      <w:pPr>
        <w:ind w:left="4320" w:hanging="180"/>
      </w:pPr>
    </w:lvl>
    <w:lvl w:ilvl="6" w:tplc="11ECDB02">
      <w:start w:val="1"/>
      <w:numFmt w:val="decimal"/>
      <w:lvlText w:val="%7."/>
      <w:lvlJc w:val="left"/>
      <w:pPr>
        <w:ind w:left="5040" w:hanging="360"/>
      </w:pPr>
    </w:lvl>
    <w:lvl w:ilvl="7" w:tplc="697061C0">
      <w:start w:val="1"/>
      <w:numFmt w:val="lowerLetter"/>
      <w:lvlText w:val="%8."/>
      <w:lvlJc w:val="left"/>
      <w:pPr>
        <w:ind w:left="5760" w:hanging="360"/>
      </w:pPr>
    </w:lvl>
    <w:lvl w:ilvl="8" w:tplc="74E056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9466C"/>
    <w:multiLevelType w:val="hybridMultilevel"/>
    <w:tmpl w:val="CAC8D7EC"/>
    <w:lvl w:ilvl="0" w:tplc="2734573E">
      <w:start w:val="1"/>
      <w:numFmt w:val="upperLetter"/>
      <w:lvlText w:val="%1."/>
      <w:lvlJc w:val="left"/>
      <w:pPr>
        <w:ind w:left="720" w:hanging="360"/>
      </w:pPr>
    </w:lvl>
    <w:lvl w:ilvl="1" w:tplc="4A0AE146">
      <w:start w:val="1"/>
      <w:numFmt w:val="lowerLetter"/>
      <w:lvlText w:val="%2."/>
      <w:lvlJc w:val="left"/>
      <w:pPr>
        <w:ind w:left="1440" w:hanging="360"/>
      </w:pPr>
    </w:lvl>
    <w:lvl w:ilvl="2" w:tplc="B90CA5BE">
      <w:start w:val="1"/>
      <w:numFmt w:val="lowerRoman"/>
      <w:lvlText w:val="%3."/>
      <w:lvlJc w:val="right"/>
      <w:pPr>
        <w:ind w:left="2160" w:hanging="180"/>
      </w:pPr>
    </w:lvl>
    <w:lvl w:ilvl="3" w:tplc="054692EA">
      <w:start w:val="1"/>
      <w:numFmt w:val="decimal"/>
      <w:lvlText w:val="%4."/>
      <w:lvlJc w:val="left"/>
      <w:pPr>
        <w:ind w:left="2880" w:hanging="360"/>
      </w:pPr>
    </w:lvl>
    <w:lvl w:ilvl="4" w:tplc="C090EE00">
      <w:start w:val="1"/>
      <w:numFmt w:val="lowerLetter"/>
      <w:lvlText w:val="%5."/>
      <w:lvlJc w:val="left"/>
      <w:pPr>
        <w:ind w:left="3600" w:hanging="360"/>
      </w:pPr>
    </w:lvl>
    <w:lvl w:ilvl="5" w:tplc="354AABDC">
      <w:start w:val="1"/>
      <w:numFmt w:val="lowerRoman"/>
      <w:lvlText w:val="%6."/>
      <w:lvlJc w:val="right"/>
      <w:pPr>
        <w:ind w:left="4320" w:hanging="180"/>
      </w:pPr>
    </w:lvl>
    <w:lvl w:ilvl="6" w:tplc="83BE8D24">
      <w:start w:val="1"/>
      <w:numFmt w:val="decimal"/>
      <w:lvlText w:val="%7."/>
      <w:lvlJc w:val="left"/>
      <w:pPr>
        <w:ind w:left="5040" w:hanging="360"/>
      </w:pPr>
    </w:lvl>
    <w:lvl w:ilvl="7" w:tplc="48B6FFCE">
      <w:start w:val="1"/>
      <w:numFmt w:val="lowerLetter"/>
      <w:lvlText w:val="%8."/>
      <w:lvlJc w:val="left"/>
      <w:pPr>
        <w:ind w:left="5760" w:hanging="360"/>
      </w:pPr>
    </w:lvl>
    <w:lvl w:ilvl="8" w:tplc="3CC263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43A4A"/>
    <w:multiLevelType w:val="hybridMultilevel"/>
    <w:tmpl w:val="FFFFFFFF"/>
    <w:lvl w:ilvl="0" w:tplc="B5FE82CC">
      <w:start w:val="1"/>
      <w:numFmt w:val="upperLetter"/>
      <w:lvlText w:val="%1."/>
      <w:lvlJc w:val="left"/>
      <w:pPr>
        <w:ind w:left="720" w:hanging="360"/>
      </w:pPr>
    </w:lvl>
    <w:lvl w:ilvl="1" w:tplc="405A3164">
      <w:start w:val="1"/>
      <w:numFmt w:val="lowerLetter"/>
      <w:lvlText w:val="%2."/>
      <w:lvlJc w:val="left"/>
      <w:pPr>
        <w:ind w:left="1440" w:hanging="360"/>
      </w:pPr>
    </w:lvl>
    <w:lvl w:ilvl="2" w:tplc="30602C72">
      <w:start w:val="1"/>
      <w:numFmt w:val="lowerRoman"/>
      <w:lvlText w:val="%3."/>
      <w:lvlJc w:val="right"/>
      <w:pPr>
        <w:ind w:left="2160" w:hanging="180"/>
      </w:pPr>
    </w:lvl>
    <w:lvl w:ilvl="3" w:tplc="573031D6">
      <w:start w:val="1"/>
      <w:numFmt w:val="decimal"/>
      <w:lvlText w:val="%4."/>
      <w:lvlJc w:val="left"/>
      <w:pPr>
        <w:ind w:left="2880" w:hanging="360"/>
      </w:pPr>
    </w:lvl>
    <w:lvl w:ilvl="4" w:tplc="4AB8C5D0">
      <w:start w:val="1"/>
      <w:numFmt w:val="lowerLetter"/>
      <w:lvlText w:val="%5."/>
      <w:lvlJc w:val="left"/>
      <w:pPr>
        <w:ind w:left="3600" w:hanging="360"/>
      </w:pPr>
    </w:lvl>
    <w:lvl w:ilvl="5" w:tplc="2FA2B00C">
      <w:start w:val="1"/>
      <w:numFmt w:val="lowerRoman"/>
      <w:lvlText w:val="%6."/>
      <w:lvlJc w:val="right"/>
      <w:pPr>
        <w:ind w:left="4320" w:hanging="180"/>
      </w:pPr>
    </w:lvl>
    <w:lvl w:ilvl="6" w:tplc="50507BC4">
      <w:start w:val="1"/>
      <w:numFmt w:val="decimal"/>
      <w:lvlText w:val="%7."/>
      <w:lvlJc w:val="left"/>
      <w:pPr>
        <w:ind w:left="5040" w:hanging="360"/>
      </w:pPr>
    </w:lvl>
    <w:lvl w:ilvl="7" w:tplc="7A9AE368">
      <w:start w:val="1"/>
      <w:numFmt w:val="lowerLetter"/>
      <w:lvlText w:val="%8."/>
      <w:lvlJc w:val="left"/>
      <w:pPr>
        <w:ind w:left="5760" w:hanging="360"/>
      </w:pPr>
    </w:lvl>
    <w:lvl w:ilvl="8" w:tplc="D00AAB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37848"/>
    <w:multiLevelType w:val="hybridMultilevel"/>
    <w:tmpl w:val="713ECE08"/>
    <w:lvl w:ilvl="0" w:tplc="973EAA10">
      <w:start w:val="1"/>
      <w:numFmt w:val="upperLetter"/>
      <w:lvlText w:val="%1."/>
      <w:lvlJc w:val="left"/>
      <w:pPr>
        <w:ind w:left="720" w:hanging="360"/>
      </w:pPr>
    </w:lvl>
    <w:lvl w:ilvl="1" w:tplc="D74ABF64">
      <w:start w:val="1"/>
      <w:numFmt w:val="lowerLetter"/>
      <w:lvlText w:val="%2."/>
      <w:lvlJc w:val="left"/>
      <w:pPr>
        <w:ind w:left="1440" w:hanging="360"/>
      </w:pPr>
    </w:lvl>
    <w:lvl w:ilvl="2" w:tplc="054EEA20">
      <w:start w:val="1"/>
      <w:numFmt w:val="lowerRoman"/>
      <w:lvlText w:val="%3."/>
      <w:lvlJc w:val="right"/>
      <w:pPr>
        <w:ind w:left="2160" w:hanging="180"/>
      </w:pPr>
    </w:lvl>
    <w:lvl w:ilvl="3" w:tplc="87A448BA">
      <w:start w:val="1"/>
      <w:numFmt w:val="decimal"/>
      <w:lvlText w:val="%4."/>
      <w:lvlJc w:val="left"/>
      <w:pPr>
        <w:ind w:left="2880" w:hanging="360"/>
      </w:pPr>
    </w:lvl>
    <w:lvl w:ilvl="4" w:tplc="83942958">
      <w:start w:val="1"/>
      <w:numFmt w:val="lowerLetter"/>
      <w:lvlText w:val="%5."/>
      <w:lvlJc w:val="left"/>
      <w:pPr>
        <w:ind w:left="3600" w:hanging="360"/>
      </w:pPr>
    </w:lvl>
    <w:lvl w:ilvl="5" w:tplc="705E4EEC">
      <w:start w:val="1"/>
      <w:numFmt w:val="lowerRoman"/>
      <w:lvlText w:val="%6."/>
      <w:lvlJc w:val="right"/>
      <w:pPr>
        <w:ind w:left="4320" w:hanging="180"/>
      </w:pPr>
    </w:lvl>
    <w:lvl w:ilvl="6" w:tplc="21900AAE">
      <w:start w:val="1"/>
      <w:numFmt w:val="decimal"/>
      <w:lvlText w:val="%7."/>
      <w:lvlJc w:val="left"/>
      <w:pPr>
        <w:ind w:left="5040" w:hanging="360"/>
      </w:pPr>
    </w:lvl>
    <w:lvl w:ilvl="7" w:tplc="FAA89108">
      <w:start w:val="1"/>
      <w:numFmt w:val="lowerLetter"/>
      <w:lvlText w:val="%8."/>
      <w:lvlJc w:val="left"/>
      <w:pPr>
        <w:ind w:left="5760" w:hanging="360"/>
      </w:pPr>
    </w:lvl>
    <w:lvl w:ilvl="8" w:tplc="67C21E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7642"/>
    <w:multiLevelType w:val="hybridMultilevel"/>
    <w:tmpl w:val="33220636"/>
    <w:lvl w:ilvl="0" w:tplc="C1F437D4">
      <w:start w:val="1"/>
      <w:numFmt w:val="upperLetter"/>
      <w:lvlText w:val="%1."/>
      <w:lvlJc w:val="left"/>
      <w:pPr>
        <w:ind w:left="720" w:hanging="360"/>
      </w:pPr>
    </w:lvl>
    <w:lvl w:ilvl="1" w:tplc="27DC7B3E">
      <w:start w:val="1"/>
      <w:numFmt w:val="lowerLetter"/>
      <w:lvlText w:val="%2."/>
      <w:lvlJc w:val="left"/>
      <w:pPr>
        <w:ind w:left="1440" w:hanging="360"/>
      </w:pPr>
    </w:lvl>
    <w:lvl w:ilvl="2" w:tplc="9D64812C">
      <w:start w:val="1"/>
      <w:numFmt w:val="lowerRoman"/>
      <w:lvlText w:val="%3."/>
      <w:lvlJc w:val="right"/>
      <w:pPr>
        <w:ind w:left="2160" w:hanging="180"/>
      </w:pPr>
    </w:lvl>
    <w:lvl w:ilvl="3" w:tplc="D6062BBC">
      <w:start w:val="1"/>
      <w:numFmt w:val="decimal"/>
      <w:lvlText w:val="%4."/>
      <w:lvlJc w:val="left"/>
      <w:pPr>
        <w:ind w:left="2880" w:hanging="360"/>
      </w:pPr>
    </w:lvl>
    <w:lvl w:ilvl="4" w:tplc="1188CFE2">
      <w:start w:val="1"/>
      <w:numFmt w:val="lowerLetter"/>
      <w:lvlText w:val="%5."/>
      <w:lvlJc w:val="left"/>
      <w:pPr>
        <w:ind w:left="3600" w:hanging="360"/>
      </w:pPr>
    </w:lvl>
    <w:lvl w:ilvl="5" w:tplc="A176BAD2">
      <w:start w:val="1"/>
      <w:numFmt w:val="lowerRoman"/>
      <w:lvlText w:val="%6."/>
      <w:lvlJc w:val="right"/>
      <w:pPr>
        <w:ind w:left="4320" w:hanging="180"/>
      </w:pPr>
    </w:lvl>
    <w:lvl w:ilvl="6" w:tplc="888495AA">
      <w:start w:val="1"/>
      <w:numFmt w:val="decimal"/>
      <w:lvlText w:val="%7."/>
      <w:lvlJc w:val="left"/>
      <w:pPr>
        <w:ind w:left="5040" w:hanging="360"/>
      </w:pPr>
    </w:lvl>
    <w:lvl w:ilvl="7" w:tplc="02F6EBCA">
      <w:start w:val="1"/>
      <w:numFmt w:val="lowerLetter"/>
      <w:lvlText w:val="%8."/>
      <w:lvlJc w:val="left"/>
      <w:pPr>
        <w:ind w:left="5760" w:hanging="360"/>
      </w:pPr>
    </w:lvl>
    <w:lvl w:ilvl="8" w:tplc="43CC4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B12E4"/>
    <w:multiLevelType w:val="hybridMultilevel"/>
    <w:tmpl w:val="E04A0C70"/>
    <w:lvl w:ilvl="0" w:tplc="9D789318">
      <w:start w:val="1"/>
      <w:numFmt w:val="upperLetter"/>
      <w:lvlText w:val="%1."/>
      <w:lvlJc w:val="left"/>
      <w:pPr>
        <w:ind w:left="720" w:hanging="360"/>
      </w:pPr>
    </w:lvl>
    <w:lvl w:ilvl="1" w:tplc="82DC976A">
      <w:start w:val="1"/>
      <w:numFmt w:val="lowerLetter"/>
      <w:lvlText w:val="%2."/>
      <w:lvlJc w:val="left"/>
      <w:pPr>
        <w:ind w:left="1440" w:hanging="360"/>
      </w:pPr>
    </w:lvl>
    <w:lvl w:ilvl="2" w:tplc="40DA76A6">
      <w:start w:val="1"/>
      <w:numFmt w:val="lowerRoman"/>
      <w:lvlText w:val="%3."/>
      <w:lvlJc w:val="right"/>
      <w:pPr>
        <w:ind w:left="2160" w:hanging="180"/>
      </w:pPr>
    </w:lvl>
    <w:lvl w:ilvl="3" w:tplc="43326898">
      <w:start w:val="1"/>
      <w:numFmt w:val="decimal"/>
      <w:lvlText w:val="%4."/>
      <w:lvlJc w:val="left"/>
      <w:pPr>
        <w:ind w:left="2880" w:hanging="360"/>
      </w:pPr>
    </w:lvl>
    <w:lvl w:ilvl="4" w:tplc="06949426">
      <w:start w:val="1"/>
      <w:numFmt w:val="lowerLetter"/>
      <w:lvlText w:val="%5."/>
      <w:lvlJc w:val="left"/>
      <w:pPr>
        <w:ind w:left="3600" w:hanging="360"/>
      </w:pPr>
    </w:lvl>
    <w:lvl w:ilvl="5" w:tplc="FE30057A">
      <w:start w:val="1"/>
      <w:numFmt w:val="lowerRoman"/>
      <w:lvlText w:val="%6."/>
      <w:lvlJc w:val="right"/>
      <w:pPr>
        <w:ind w:left="4320" w:hanging="180"/>
      </w:pPr>
    </w:lvl>
    <w:lvl w:ilvl="6" w:tplc="52A26C5C">
      <w:start w:val="1"/>
      <w:numFmt w:val="decimal"/>
      <w:lvlText w:val="%7."/>
      <w:lvlJc w:val="left"/>
      <w:pPr>
        <w:ind w:left="5040" w:hanging="360"/>
      </w:pPr>
    </w:lvl>
    <w:lvl w:ilvl="7" w:tplc="6C68743C">
      <w:start w:val="1"/>
      <w:numFmt w:val="lowerLetter"/>
      <w:lvlText w:val="%8."/>
      <w:lvlJc w:val="left"/>
      <w:pPr>
        <w:ind w:left="5760" w:hanging="360"/>
      </w:pPr>
    </w:lvl>
    <w:lvl w:ilvl="8" w:tplc="B79C7B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E3882"/>
    <w:multiLevelType w:val="hybridMultilevel"/>
    <w:tmpl w:val="445E422E"/>
    <w:lvl w:ilvl="0" w:tplc="73169AFE">
      <w:start w:val="1"/>
      <w:numFmt w:val="upperLetter"/>
      <w:lvlText w:val="%1."/>
      <w:lvlJc w:val="left"/>
      <w:pPr>
        <w:ind w:left="720" w:hanging="360"/>
      </w:pPr>
    </w:lvl>
    <w:lvl w:ilvl="1" w:tplc="89B0B528">
      <w:start w:val="1"/>
      <w:numFmt w:val="lowerLetter"/>
      <w:lvlText w:val="%2."/>
      <w:lvlJc w:val="left"/>
      <w:pPr>
        <w:ind w:left="1440" w:hanging="360"/>
      </w:pPr>
    </w:lvl>
    <w:lvl w:ilvl="2" w:tplc="4648C9BE">
      <w:start w:val="1"/>
      <w:numFmt w:val="lowerRoman"/>
      <w:lvlText w:val="%3."/>
      <w:lvlJc w:val="right"/>
      <w:pPr>
        <w:ind w:left="2160" w:hanging="180"/>
      </w:pPr>
    </w:lvl>
    <w:lvl w:ilvl="3" w:tplc="25AEC610">
      <w:start w:val="1"/>
      <w:numFmt w:val="decimal"/>
      <w:lvlText w:val="%4."/>
      <w:lvlJc w:val="left"/>
      <w:pPr>
        <w:ind w:left="2880" w:hanging="360"/>
      </w:pPr>
    </w:lvl>
    <w:lvl w:ilvl="4" w:tplc="E0B876AA">
      <w:start w:val="1"/>
      <w:numFmt w:val="lowerLetter"/>
      <w:lvlText w:val="%5."/>
      <w:lvlJc w:val="left"/>
      <w:pPr>
        <w:ind w:left="3600" w:hanging="360"/>
      </w:pPr>
    </w:lvl>
    <w:lvl w:ilvl="5" w:tplc="EA56817A">
      <w:start w:val="1"/>
      <w:numFmt w:val="lowerRoman"/>
      <w:lvlText w:val="%6."/>
      <w:lvlJc w:val="right"/>
      <w:pPr>
        <w:ind w:left="4320" w:hanging="180"/>
      </w:pPr>
    </w:lvl>
    <w:lvl w:ilvl="6" w:tplc="B824F6CE">
      <w:start w:val="1"/>
      <w:numFmt w:val="decimal"/>
      <w:lvlText w:val="%7."/>
      <w:lvlJc w:val="left"/>
      <w:pPr>
        <w:ind w:left="5040" w:hanging="360"/>
      </w:pPr>
    </w:lvl>
    <w:lvl w:ilvl="7" w:tplc="E9085BA8">
      <w:start w:val="1"/>
      <w:numFmt w:val="lowerLetter"/>
      <w:lvlText w:val="%8."/>
      <w:lvlJc w:val="left"/>
      <w:pPr>
        <w:ind w:left="5760" w:hanging="360"/>
      </w:pPr>
    </w:lvl>
    <w:lvl w:ilvl="8" w:tplc="96469B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957F1"/>
    <w:multiLevelType w:val="hybridMultilevel"/>
    <w:tmpl w:val="FD24D57C"/>
    <w:lvl w:ilvl="0" w:tplc="04C6681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71B2E"/>
    <w:multiLevelType w:val="hybridMultilevel"/>
    <w:tmpl w:val="BBA2CA3C"/>
    <w:lvl w:ilvl="0" w:tplc="1C9CCDF8">
      <w:start w:val="1"/>
      <w:numFmt w:val="upperLetter"/>
      <w:lvlText w:val="%1."/>
      <w:lvlJc w:val="left"/>
      <w:pPr>
        <w:ind w:left="720" w:hanging="360"/>
      </w:pPr>
    </w:lvl>
    <w:lvl w:ilvl="1" w:tplc="27BA9696">
      <w:start w:val="1"/>
      <w:numFmt w:val="lowerLetter"/>
      <w:lvlText w:val="%2."/>
      <w:lvlJc w:val="left"/>
      <w:pPr>
        <w:ind w:left="1440" w:hanging="360"/>
      </w:pPr>
    </w:lvl>
    <w:lvl w:ilvl="2" w:tplc="663A3F44">
      <w:start w:val="1"/>
      <w:numFmt w:val="lowerRoman"/>
      <w:lvlText w:val="%3."/>
      <w:lvlJc w:val="right"/>
      <w:pPr>
        <w:ind w:left="2160" w:hanging="180"/>
      </w:pPr>
    </w:lvl>
    <w:lvl w:ilvl="3" w:tplc="7A64E88E">
      <w:start w:val="1"/>
      <w:numFmt w:val="decimal"/>
      <w:lvlText w:val="%4."/>
      <w:lvlJc w:val="left"/>
      <w:pPr>
        <w:ind w:left="2880" w:hanging="360"/>
      </w:pPr>
    </w:lvl>
    <w:lvl w:ilvl="4" w:tplc="43EE4DF6">
      <w:start w:val="1"/>
      <w:numFmt w:val="lowerLetter"/>
      <w:lvlText w:val="%5."/>
      <w:lvlJc w:val="left"/>
      <w:pPr>
        <w:ind w:left="3600" w:hanging="360"/>
      </w:pPr>
    </w:lvl>
    <w:lvl w:ilvl="5" w:tplc="4614C126">
      <w:start w:val="1"/>
      <w:numFmt w:val="lowerRoman"/>
      <w:lvlText w:val="%6."/>
      <w:lvlJc w:val="right"/>
      <w:pPr>
        <w:ind w:left="4320" w:hanging="180"/>
      </w:pPr>
    </w:lvl>
    <w:lvl w:ilvl="6" w:tplc="7DFEE0D6">
      <w:start w:val="1"/>
      <w:numFmt w:val="decimal"/>
      <w:lvlText w:val="%7."/>
      <w:lvlJc w:val="left"/>
      <w:pPr>
        <w:ind w:left="5040" w:hanging="360"/>
      </w:pPr>
    </w:lvl>
    <w:lvl w:ilvl="7" w:tplc="01E4D5C6">
      <w:start w:val="1"/>
      <w:numFmt w:val="lowerLetter"/>
      <w:lvlText w:val="%8."/>
      <w:lvlJc w:val="left"/>
      <w:pPr>
        <w:ind w:left="5760" w:hanging="360"/>
      </w:pPr>
    </w:lvl>
    <w:lvl w:ilvl="8" w:tplc="868AD3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68E7"/>
    <w:multiLevelType w:val="hybridMultilevel"/>
    <w:tmpl w:val="FFFFFFFF"/>
    <w:lvl w:ilvl="0" w:tplc="782E0B58">
      <w:start w:val="1"/>
      <w:numFmt w:val="upperLetter"/>
      <w:lvlText w:val="%1."/>
      <w:lvlJc w:val="left"/>
      <w:pPr>
        <w:ind w:left="720" w:hanging="360"/>
      </w:pPr>
    </w:lvl>
    <w:lvl w:ilvl="1" w:tplc="8638A958">
      <w:start w:val="1"/>
      <w:numFmt w:val="lowerLetter"/>
      <w:lvlText w:val="%2."/>
      <w:lvlJc w:val="left"/>
      <w:pPr>
        <w:ind w:left="1440" w:hanging="360"/>
      </w:pPr>
    </w:lvl>
    <w:lvl w:ilvl="2" w:tplc="40D21A0C">
      <w:start w:val="1"/>
      <w:numFmt w:val="lowerRoman"/>
      <w:lvlText w:val="%3."/>
      <w:lvlJc w:val="right"/>
      <w:pPr>
        <w:ind w:left="2160" w:hanging="180"/>
      </w:pPr>
    </w:lvl>
    <w:lvl w:ilvl="3" w:tplc="A8928EAA">
      <w:start w:val="1"/>
      <w:numFmt w:val="decimal"/>
      <w:lvlText w:val="%4."/>
      <w:lvlJc w:val="left"/>
      <w:pPr>
        <w:ind w:left="2880" w:hanging="360"/>
      </w:pPr>
    </w:lvl>
    <w:lvl w:ilvl="4" w:tplc="7CBA8EA2">
      <w:start w:val="1"/>
      <w:numFmt w:val="lowerLetter"/>
      <w:lvlText w:val="%5."/>
      <w:lvlJc w:val="left"/>
      <w:pPr>
        <w:ind w:left="3600" w:hanging="360"/>
      </w:pPr>
    </w:lvl>
    <w:lvl w:ilvl="5" w:tplc="729437BC">
      <w:start w:val="1"/>
      <w:numFmt w:val="lowerRoman"/>
      <w:lvlText w:val="%6."/>
      <w:lvlJc w:val="right"/>
      <w:pPr>
        <w:ind w:left="4320" w:hanging="180"/>
      </w:pPr>
    </w:lvl>
    <w:lvl w:ilvl="6" w:tplc="877C15B6">
      <w:start w:val="1"/>
      <w:numFmt w:val="decimal"/>
      <w:lvlText w:val="%7."/>
      <w:lvlJc w:val="left"/>
      <w:pPr>
        <w:ind w:left="5040" w:hanging="360"/>
      </w:pPr>
    </w:lvl>
    <w:lvl w:ilvl="7" w:tplc="43489EE2">
      <w:start w:val="1"/>
      <w:numFmt w:val="lowerLetter"/>
      <w:lvlText w:val="%8."/>
      <w:lvlJc w:val="left"/>
      <w:pPr>
        <w:ind w:left="5760" w:hanging="360"/>
      </w:pPr>
    </w:lvl>
    <w:lvl w:ilvl="8" w:tplc="C34271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A40"/>
    <w:multiLevelType w:val="hybridMultilevel"/>
    <w:tmpl w:val="2C924AD8"/>
    <w:lvl w:ilvl="0" w:tplc="9EBE60E2">
      <w:start w:val="1"/>
      <w:numFmt w:val="upperLetter"/>
      <w:lvlText w:val="%1."/>
      <w:lvlJc w:val="left"/>
      <w:pPr>
        <w:ind w:left="720" w:hanging="360"/>
      </w:pPr>
    </w:lvl>
    <w:lvl w:ilvl="1" w:tplc="21844726">
      <w:start w:val="1"/>
      <w:numFmt w:val="lowerLetter"/>
      <w:lvlText w:val="%2."/>
      <w:lvlJc w:val="left"/>
      <w:pPr>
        <w:ind w:left="1440" w:hanging="360"/>
      </w:pPr>
    </w:lvl>
    <w:lvl w:ilvl="2" w:tplc="E318B5C6">
      <w:start w:val="1"/>
      <w:numFmt w:val="lowerRoman"/>
      <w:lvlText w:val="%3."/>
      <w:lvlJc w:val="right"/>
      <w:pPr>
        <w:ind w:left="2160" w:hanging="180"/>
      </w:pPr>
    </w:lvl>
    <w:lvl w:ilvl="3" w:tplc="0ED68806">
      <w:start w:val="1"/>
      <w:numFmt w:val="decimal"/>
      <w:lvlText w:val="%4."/>
      <w:lvlJc w:val="left"/>
      <w:pPr>
        <w:ind w:left="2880" w:hanging="360"/>
      </w:pPr>
    </w:lvl>
    <w:lvl w:ilvl="4" w:tplc="B67EA5D8">
      <w:start w:val="1"/>
      <w:numFmt w:val="lowerLetter"/>
      <w:lvlText w:val="%5."/>
      <w:lvlJc w:val="left"/>
      <w:pPr>
        <w:ind w:left="3600" w:hanging="360"/>
      </w:pPr>
    </w:lvl>
    <w:lvl w:ilvl="5" w:tplc="C8784E26">
      <w:start w:val="1"/>
      <w:numFmt w:val="lowerRoman"/>
      <w:lvlText w:val="%6."/>
      <w:lvlJc w:val="right"/>
      <w:pPr>
        <w:ind w:left="4320" w:hanging="180"/>
      </w:pPr>
    </w:lvl>
    <w:lvl w:ilvl="6" w:tplc="7AEACD36">
      <w:start w:val="1"/>
      <w:numFmt w:val="decimal"/>
      <w:lvlText w:val="%7."/>
      <w:lvlJc w:val="left"/>
      <w:pPr>
        <w:ind w:left="5040" w:hanging="360"/>
      </w:pPr>
    </w:lvl>
    <w:lvl w:ilvl="7" w:tplc="319C8408">
      <w:start w:val="1"/>
      <w:numFmt w:val="lowerLetter"/>
      <w:lvlText w:val="%8."/>
      <w:lvlJc w:val="left"/>
      <w:pPr>
        <w:ind w:left="5760" w:hanging="360"/>
      </w:pPr>
    </w:lvl>
    <w:lvl w:ilvl="8" w:tplc="9BDA8B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AD6"/>
    <w:multiLevelType w:val="hybridMultilevel"/>
    <w:tmpl w:val="8E361C3E"/>
    <w:lvl w:ilvl="0" w:tplc="BD367656">
      <w:start w:val="1"/>
      <w:numFmt w:val="upperLetter"/>
      <w:lvlText w:val="%1."/>
      <w:lvlJc w:val="left"/>
      <w:pPr>
        <w:ind w:left="720" w:hanging="360"/>
      </w:pPr>
    </w:lvl>
    <w:lvl w:ilvl="1" w:tplc="4A1EB32C">
      <w:start w:val="1"/>
      <w:numFmt w:val="lowerLetter"/>
      <w:lvlText w:val="%2."/>
      <w:lvlJc w:val="left"/>
      <w:pPr>
        <w:ind w:left="1440" w:hanging="360"/>
      </w:pPr>
    </w:lvl>
    <w:lvl w:ilvl="2" w:tplc="4312754E">
      <w:start w:val="1"/>
      <w:numFmt w:val="lowerRoman"/>
      <w:lvlText w:val="%3."/>
      <w:lvlJc w:val="right"/>
      <w:pPr>
        <w:ind w:left="2160" w:hanging="180"/>
      </w:pPr>
    </w:lvl>
    <w:lvl w:ilvl="3" w:tplc="B1BC1566">
      <w:start w:val="1"/>
      <w:numFmt w:val="decimal"/>
      <w:lvlText w:val="%4."/>
      <w:lvlJc w:val="left"/>
      <w:pPr>
        <w:ind w:left="2880" w:hanging="360"/>
      </w:pPr>
    </w:lvl>
    <w:lvl w:ilvl="4" w:tplc="6B2AC66E">
      <w:start w:val="1"/>
      <w:numFmt w:val="lowerLetter"/>
      <w:lvlText w:val="%5."/>
      <w:lvlJc w:val="left"/>
      <w:pPr>
        <w:ind w:left="3600" w:hanging="360"/>
      </w:pPr>
    </w:lvl>
    <w:lvl w:ilvl="5" w:tplc="1F764436">
      <w:start w:val="1"/>
      <w:numFmt w:val="lowerRoman"/>
      <w:lvlText w:val="%6."/>
      <w:lvlJc w:val="right"/>
      <w:pPr>
        <w:ind w:left="4320" w:hanging="180"/>
      </w:pPr>
    </w:lvl>
    <w:lvl w:ilvl="6" w:tplc="2BACD0FA">
      <w:start w:val="1"/>
      <w:numFmt w:val="decimal"/>
      <w:lvlText w:val="%7."/>
      <w:lvlJc w:val="left"/>
      <w:pPr>
        <w:ind w:left="5040" w:hanging="360"/>
      </w:pPr>
    </w:lvl>
    <w:lvl w:ilvl="7" w:tplc="852EA80E">
      <w:start w:val="1"/>
      <w:numFmt w:val="lowerLetter"/>
      <w:lvlText w:val="%8."/>
      <w:lvlJc w:val="left"/>
      <w:pPr>
        <w:ind w:left="5760" w:hanging="360"/>
      </w:pPr>
    </w:lvl>
    <w:lvl w:ilvl="8" w:tplc="C2BC2C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14D7E"/>
    <w:multiLevelType w:val="hybridMultilevel"/>
    <w:tmpl w:val="45902432"/>
    <w:lvl w:ilvl="0" w:tplc="14A2F2A0">
      <w:start w:val="1"/>
      <w:numFmt w:val="upperLetter"/>
      <w:lvlText w:val="%1."/>
      <w:lvlJc w:val="left"/>
      <w:pPr>
        <w:ind w:left="720" w:hanging="360"/>
      </w:pPr>
    </w:lvl>
    <w:lvl w:ilvl="1" w:tplc="71C62024">
      <w:start w:val="1"/>
      <w:numFmt w:val="lowerLetter"/>
      <w:lvlText w:val="%2."/>
      <w:lvlJc w:val="left"/>
      <w:pPr>
        <w:ind w:left="1440" w:hanging="360"/>
      </w:pPr>
    </w:lvl>
    <w:lvl w:ilvl="2" w:tplc="88440A0A">
      <w:start w:val="1"/>
      <w:numFmt w:val="lowerRoman"/>
      <w:lvlText w:val="%3."/>
      <w:lvlJc w:val="right"/>
      <w:pPr>
        <w:ind w:left="2160" w:hanging="180"/>
      </w:pPr>
    </w:lvl>
    <w:lvl w:ilvl="3" w:tplc="A52C3BB2">
      <w:start w:val="1"/>
      <w:numFmt w:val="decimal"/>
      <w:lvlText w:val="%4."/>
      <w:lvlJc w:val="left"/>
      <w:pPr>
        <w:ind w:left="2880" w:hanging="360"/>
      </w:pPr>
    </w:lvl>
    <w:lvl w:ilvl="4" w:tplc="81423D98">
      <w:start w:val="1"/>
      <w:numFmt w:val="lowerLetter"/>
      <w:lvlText w:val="%5."/>
      <w:lvlJc w:val="left"/>
      <w:pPr>
        <w:ind w:left="3600" w:hanging="360"/>
      </w:pPr>
    </w:lvl>
    <w:lvl w:ilvl="5" w:tplc="3F54F9C2">
      <w:start w:val="1"/>
      <w:numFmt w:val="lowerRoman"/>
      <w:lvlText w:val="%6."/>
      <w:lvlJc w:val="right"/>
      <w:pPr>
        <w:ind w:left="4320" w:hanging="180"/>
      </w:pPr>
    </w:lvl>
    <w:lvl w:ilvl="6" w:tplc="29AAE07C">
      <w:start w:val="1"/>
      <w:numFmt w:val="decimal"/>
      <w:lvlText w:val="%7."/>
      <w:lvlJc w:val="left"/>
      <w:pPr>
        <w:ind w:left="5040" w:hanging="360"/>
      </w:pPr>
    </w:lvl>
    <w:lvl w:ilvl="7" w:tplc="6F94D886">
      <w:start w:val="1"/>
      <w:numFmt w:val="lowerLetter"/>
      <w:lvlText w:val="%8."/>
      <w:lvlJc w:val="left"/>
      <w:pPr>
        <w:ind w:left="5760" w:hanging="360"/>
      </w:pPr>
    </w:lvl>
    <w:lvl w:ilvl="8" w:tplc="34F4F420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94220">
    <w:abstractNumId w:val="8"/>
  </w:num>
  <w:num w:numId="2" w16cid:durableId="1652323083">
    <w:abstractNumId w:val="12"/>
  </w:num>
  <w:num w:numId="3" w16cid:durableId="983200774">
    <w:abstractNumId w:val="10"/>
  </w:num>
  <w:num w:numId="4" w16cid:durableId="1580864399">
    <w:abstractNumId w:val="1"/>
  </w:num>
  <w:num w:numId="5" w16cid:durableId="2031105664">
    <w:abstractNumId w:val="2"/>
  </w:num>
  <w:num w:numId="6" w16cid:durableId="246618484">
    <w:abstractNumId w:val="7"/>
  </w:num>
  <w:num w:numId="7" w16cid:durableId="933323499">
    <w:abstractNumId w:val="6"/>
  </w:num>
  <w:num w:numId="8" w16cid:durableId="750741689">
    <w:abstractNumId w:val="3"/>
  </w:num>
  <w:num w:numId="9" w16cid:durableId="1204831005">
    <w:abstractNumId w:val="5"/>
  </w:num>
  <w:num w:numId="10" w16cid:durableId="1919318425">
    <w:abstractNumId w:val="14"/>
  </w:num>
  <w:num w:numId="11" w16cid:durableId="965350321">
    <w:abstractNumId w:val="0"/>
  </w:num>
  <w:num w:numId="12" w16cid:durableId="642925439">
    <w:abstractNumId w:val="13"/>
  </w:num>
  <w:num w:numId="13" w16cid:durableId="2021933435">
    <w:abstractNumId w:val="11"/>
  </w:num>
  <w:num w:numId="14" w16cid:durableId="1395274241">
    <w:abstractNumId w:val="4"/>
  </w:num>
  <w:num w:numId="15" w16cid:durableId="1018704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F5"/>
    <w:rsid w:val="00000281"/>
    <w:rsid w:val="00034462"/>
    <w:rsid w:val="00042E58"/>
    <w:rsid w:val="0005334E"/>
    <w:rsid w:val="000826C8"/>
    <w:rsid w:val="000859E4"/>
    <w:rsid w:val="00090CCE"/>
    <w:rsid w:val="000C0EF6"/>
    <w:rsid w:val="000C1E23"/>
    <w:rsid w:val="000C28C4"/>
    <w:rsid w:val="000C5C7C"/>
    <w:rsid w:val="000E4F38"/>
    <w:rsid w:val="00114DB7"/>
    <w:rsid w:val="0013376B"/>
    <w:rsid w:val="00136918"/>
    <w:rsid w:val="0013740E"/>
    <w:rsid w:val="001467CB"/>
    <w:rsid w:val="001473AA"/>
    <w:rsid w:val="001823BD"/>
    <w:rsid w:val="00191625"/>
    <w:rsid w:val="001A482C"/>
    <w:rsid w:val="001A6BCC"/>
    <w:rsid w:val="001C4713"/>
    <w:rsid w:val="001C7C25"/>
    <w:rsid w:val="001D29FB"/>
    <w:rsid w:val="001D3503"/>
    <w:rsid w:val="001E593C"/>
    <w:rsid w:val="00241790"/>
    <w:rsid w:val="002A14D3"/>
    <w:rsid w:val="002B2666"/>
    <w:rsid w:val="002B4DBF"/>
    <w:rsid w:val="002D2278"/>
    <w:rsid w:val="002D3874"/>
    <w:rsid w:val="002D40BB"/>
    <w:rsid w:val="00302F61"/>
    <w:rsid w:val="00303BEB"/>
    <w:rsid w:val="0031273A"/>
    <w:rsid w:val="00321F0D"/>
    <w:rsid w:val="00326796"/>
    <w:rsid w:val="0036271C"/>
    <w:rsid w:val="003744BE"/>
    <w:rsid w:val="003777F5"/>
    <w:rsid w:val="003804F7"/>
    <w:rsid w:val="003D473D"/>
    <w:rsid w:val="003E1384"/>
    <w:rsid w:val="003F6839"/>
    <w:rsid w:val="00400DF8"/>
    <w:rsid w:val="00404766"/>
    <w:rsid w:val="004141A2"/>
    <w:rsid w:val="004744E8"/>
    <w:rsid w:val="004A4EA0"/>
    <w:rsid w:val="004B6A4F"/>
    <w:rsid w:val="004D4A2F"/>
    <w:rsid w:val="004D540A"/>
    <w:rsid w:val="005027FD"/>
    <w:rsid w:val="005442E4"/>
    <w:rsid w:val="00552D5E"/>
    <w:rsid w:val="00560E88"/>
    <w:rsid w:val="00561A18"/>
    <w:rsid w:val="0056766C"/>
    <w:rsid w:val="005753CE"/>
    <w:rsid w:val="00584B70"/>
    <w:rsid w:val="005C76D6"/>
    <w:rsid w:val="005D1E04"/>
    <w:rsid w:val="005E1878"/>
    <w:rsid w:val="006054F4"/>
    <w:rsid w:val="006104B7"/>
    <w:rsid w:val="00627B45"/>
    <w:rsid w:val="00636D86"/>
    <w:rsid w:val="0068681E"/>
    <w:rsid w:val="006A455B"/>
    <w:rsid w:val="006B7DCA"/>
    <w:rsid w:val="006D6674"/>
    <w:rsid w:val="006E0B6C"/>
    <w:rsid w:val="006F04EB"/>
    <w:rsid w:val="007001FF"/>
    <w:rsid w:val="0073325D"/>
    <w:rsid w:val="00734EC8"/>
    <w:rsid w:val="007439EE"/>
    <w:rsid w:val="00765938"/>
    <w:rsid w:val="00772A75"/>
    <w:rsid w:val="0078603E"/>
    <w:rsid w:val="0078783A"/>
    <w:rsid w:val="0079139C"/>
    <w:rsid w:val="0079372C"/>
    <w:rsid w:val="00796679"/>
    <w:rsid w:val="007A6706"/>
    <w:rsid w:val="007B4962"/>
    <w:rsid w:val="007D67B7"/>
    <w:rsid w:val="007E578D"/>
    <w:rsid w:val="0081416F"/>
    <w:rsid w:val="008215FA"/>
    <w:rsid w:val="008B09AA"/>
    <w:rsid w:val="008B6053"/>
    <w:rsid w:val="008B7D11"/>
    <w:rsid w:val="008E0FEB"/>
    <w:rsid w:val="008E5DC1"/>
    <w:rsid w:val="00931BFE"/>
    <w:rsid w:val="00971091"/>
    <w:rsid w:val="00991029"/>
    <w:rsid w:val="009C71B6"/>
    <w:rsid w:val="009E6776"/>
    <w:rsid w:val="009F768C"/>
    <w:rsid w:val="00A05E5C"/>
    <w:rsid w:val="00A11DDE"/>
    <w:rsid w:val="00A2456C"/>
    <w:rsid w:val="00A33482"/>
    <w:rsid w:val="00A4257E"/>
    <w:rsid w:val="00AC3843"/>
    <w:rsid w:val="00AC7F41"/>
    <w:rsid w:val="00AF03C5"/>
    <w:rsid w:val="00B20DA1"/>
    <w:rsid w:val="00B354F9"/>
    <w:rsid w:val="00B35CCD"/>
    <w:rsid w:val="00B937F0"/>
    <w:rsid w:val="00BA1C81"/>
    <w:rsid w:val="00BC3691"/>
    <w:rsid w:val="00BC6580"/>
    <w:rsid w:val="00BD0C1D"/>
    <w:rsid w:val="00BD4EE7"/>
    <w:rsid w:val="00BF0E01"/>
    <w:rsid w:val="00BF6342"/>
    <w:rsid w:val="00C013AB"/>
    <w:rsid w:val="00C27475"/>
    <w:rsid w:val="00C51694"/>
    <w:rsid w:val="00CB06AB"/>
    <w:rsid w:val="00CB27B8"/>
    <w:rsid w:val="00CC579F"/>
    <w:rsid w:val="00CC5E01"/>
    <w:rsid w:val="00CE3BE4"/>
    <w:rsid w:val="00D26ACD"/>
    <w:rsid w:val="00D66A90"/>
    <w:rsid w:val="00D8199E"/>
    <w:rsid w:val="00D97397"/>
    <w:rsid w:val="00DA4320"/>
    <w:rsid w:val="00DA5894"/>
    <w:rsid w:val="00DB3F5A"/>
    <w:rsid w:val="00E13785"/>
    <w:rsid w:val="00E209CD"/>
    <w:rsid w:val="00E211EC"/>
    <w:rsid w:val="00E25CD4"/>
    <w:rsid w:val="00E359A9"/>
    <w:rsid w:val="00E528FE"/>
    <w:rsid w:val="00E77B18"/>
    <w:rsid w:val="00EB5896"/>
    <w:rsid w:val="00ED1BE9"/>
    <w:rsid w:val="00EF55D3"/>
    <w:rsid w:val="00EF7F57"/>
    <w:rsid w:val="00F01AF6"/>
    <w:rsid w:val="00F15CC9"/>
    <w:rsid w:val="00F25585"/>
    <w:rsid w:val="00F66A63"/>
    <w:rsid w:val="00F803BB"/>
    <w:rsid w:val="00F94957"/>
    <w:rsid w:val="00FA7D60"/>
    <w:rsid w:val="00FB04DF"/>
    <w:rsid w:val="00FC17EE"/>
    <w:rsid w:val="00FC1FD4"/>
    <w:rsid w:val="00FC5B32"/>
    <w:rsid w:val="00FC6165"/>
    <w:rsid w:val="00FD0D1C"/>
    <w:rsid w:val="00FD450C"/>
    <w:rsid w:val="00F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4B5C5"/>
  <w15:chartTrackingRefBased/>
  <w15:docId w15:val="{828B3933-2C49-214D-9D87-99F2971D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F5"/>
    <w:pPr>
      <w:spacing w:after="1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7F5"/>
    <w:rPr>
      <w:i/>
      <w:iCs/>
      <w:color w:val="404040" w:themeColor="text1" w:themeTint="BF"/>
    </w:rPr>
  </w:style>
  <w:style w:type="paragraph" w:styleId="ListParagraph">
    <w:name w:val="List Paragraph"/>
    <w:aliases w:val="H3,3,POCG Table Text"/>
    <w:basedOn w:val="Normal"/>
    <w:link w:val="ListParagraphChar"/>
    <w:qFormat/>
    <w:rsid w:val="00377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7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77F5"/>
    <w:rPr>
      <w:sz w:val="16"/>
      <w:szCs w:val="16"/>
    </w:rPr>
  </w:style>
  <w:style w:type="table" w:styleId="TableGrid">
    <w:name w:val="Table Grid"/>
    <w:basedOn w:val="TableNormal"/>
    <w:uiPriority w:val="39"/>
    <w:rsid w:val="003777F5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777F5"/>
    <w:rPr>
      <w:color w:val="467886" w:themeColor="hyperlink"/>
      <w:u w:val="single"/>
    </w:rPr>
  </w:style>
  <w:style w:type="character" w:customStyle="1" w:styleId="ListParagraphChar">
    <w:name w:val="List Paragraph Char"/>
    <w:aliases w:val="H3 Char,3 Char,POCG Table Text Char"/>
    <w:link w:val="ListParagraph"/>
    <w:rsid w:val="003777F5"/>
  </w:style>
  <w:style w:type="paragraph" w:styleId="Footer">
    <w:name w:val="footer"/>
    <w:basedOn w:val="Normal"/>
    <w:link w:val="FooterChar"/>
    <w:uiPriority w:val="99"/>
    <w:unhideWhenUsed/>
    <w:rsid w:val="003777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7F5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777F5"/>
  </w:style>
  <w:style w:type="paragraph" w:styleId="Header">
    <w:name w:val="header"/>
    <w:basedOn w:val="Normal"/>
    <w:link w:val="HeaderChar"/>
    <w:uiPriority w:val="99"/>
    <w:unhideWhenUsed/>
    <w:rsid w:val="00377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77F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803BB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5D3"/>
    <w:rPr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66A63"/>
  </w:style>
  <w:style w:type="character" w:customStyle="1" w:styleId="BodyTextChar">
    <w:name w:val="Body Text Char"/>
    <w:basedOn w:val="DefaultParagraphFont"/>
    <w:link w:val="BodyText"/>
    <w:uiPriority w:val="99"/>
    <w:semiHidden/>
    <w:rsid w:val="00F66A63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A6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A6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66A6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9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nfo@LocalEnergyCodes.com?subject=FlexPath%20Ques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LocalEnergyCode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ocalenergycodes.com/content/resources/?q=FlexPath:%20Single%20Family%20Alter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info.gov/content/pkg/USCODE-2022-title42/pdf/USCODE-2022-title42-chap77-subchapIII-partA-sec62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ce0cc-f5b5-434b-8482-5db87d6d8031" xsi:nil="true"/>
    <lcf76f155ced4ddcb4097134ff3c332f xmlns="16e0aafd-816c-4308-a0ff-92afc8a94d46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EA3AE08AFE4DA05EA834BC30324A" ma:contentTypeVersion="13" ma:contentTypeDescription="Create a new document." ma:contentTypeScope="" ma:versionID="1fef1b4411688a881810c025e57cb9ab">
  <xsd:schema xmlns:xsd="http://www.w3.org/2001/XMLSchema" xmlns:xs="http://www.w3.org/2001/XMLSchema" xmlns:p="http://schemas.microsoft.com/office/2006/metadata/properties" xmlns:ns1="http://schemas.microsoft.com/sharepoint/v3" xmlns:ns2="16e0aafd-816c-4308-a0ff-92afc8a94d46" xmlns:ns3="cc6ce0cc-f5b5-434b-8482-5db87d6d8031" targetNamespace="http://schemas.microsoft.com/office/2006/metadata/properties" ma:root="true" ma:fieldsID="4583b09a2bf70d65f822dd7d7bd2313c" ns1:_="" ns2:_="" ns3:_="">
    <xsd:import namespace="http://schemas.microsoft.com/sharepoint/v3"/>
    <xsd:import namespace="16e0aafd-816c-4308-a0ff-92afc8a94d46"/>
    <xsd:import namespace="cc6ce0cc-f5b5-434b-8482-5db87d6d8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aafd-816c-4308-a0ff-92afc8a9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a1949b-91db-4c9a-b8ec-16f71fd46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e0cc-f5b5-434b-8482-5db87d6d80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ad83fc-6b7f-4b0d-8003-92047c66d588}" ma:internalName="TaxCatchAll" ma:showField="CatchAllData" ma:web="cc6ce0cc-f5b5-434b-8482-5db87d6d8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4EEB-859B-4D15-95AD-2CAC8AF00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0AC2E-6A7E-4932-AE4B-4B4F8EDFB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90286-9EFE-42BB-86B2-0CC66C3A168B}">
  <ds:schemaRefs>
    <ds:schemaRef ds:uri="http://schemas.microsoft.com/office/2006/metadata/properties"/>
    <ds:schemaRef ds:uri="http://schemas.microsoft.com/office/infopath/2007/PartnerControls"/>
    <ds:schemaRef ds:uri="cc6ce0cc-f5b5-434b-8482-5db87d6d8031"/>
    <ds:schemaRef ds:uri="16e0aafd-816c-4308-a0ff-92afc8a94d4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7EC019-A8CF-4DC8-BEEF-DD447C415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aafd-816c-4308-a0ff-92afc8a94d46"/>
    <ds:schemaRef ds:uri="cc6ce0cc-f5b5-434b-8482-5db87d6d8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FlexPath FAQ</dc:title>
  <dc:subject/>
  <dc:creator>Neal De Snoo</dc:creator>
  <cp:keywords/>
  <dc:description/>
  <cp:lastModifiedBy>Misti Bruceri</cp:lastModifiedBy>
  <cp:revision>10</cp:revision>
  <dcterms:created xsi:type="dcterms:W3CDTF">2026-04-15T19:56:00Z</dcterms:created>
  <dcterms:modified xsi:type="dcterms:W3CDTF">2026-04-15T22:30:00Z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0x010100B942EA3AE08AFE4DA05EA834BC30324A</vt:lpwstr>
  </property>
  <property fmtid="{D5CDD505-2E9C-101B-9397-08002B2CF9AE}" pid="3" name="MediaServiceImageTags">
    <vt:lpwstr/>
  </property>
</Properties>
</file>